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6DCFF1">
      <w:pPr>
        <w:pStyle w:val="12"/>
        <w:jc w:val="center"/>
        <w:rPr>
          <w:sz w:val="56"/>
          <w:szCs w:val="56"/>
        </w:rPr>
      </w:pPr>
    </w:p>
    <w:p w14:paraId="3BDF5AB8">
      <w:pPr>
        <w:pStyle w:val="12"/>
        <w:jc w:val="center"/>
        <w:rPr>
          <w:sz w:val="56"/>
          <w:szCs w:val="56"/>
        </w:rPr>
      </w:pPr>
    </w:p>
    <w:p w14:paraId="60CA4575">
      <w:pPr>
        <w:pStyle w:val="12"/>
        <w:jc w:val="center"/>
        <w:rPr>
          <w:sz w:val="84"/>
          <w:szCs w:val="84"/>
        </w:rPr>
      </w:pPr>
    </w:p>
    <w:p w14:paraId="215EB31D">
      <w:pPr>
        <w:pStyle w:val="12"/>
        <w:jc w:val="center"/>
        <w:rPr>
          <w:sz w:val="84"/>
          <w:szCs w:val="84"/>
        </w:rPr>
      </w:pPr>
    </w:p>
    <w:p w14:paraId="376C8602">
      <w:pPr>
        <w:pStyle w:val="12"/>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202</w:t>
      </w:r>
      <w:r>
        <w:rPr>
          <w:rFonts w:hint="eastAsia" w:ascii="方正小标宋_GBK" w:hAnsi="方正小标宋_GBK" w:eastAsia="方正小标宋_GBK" w:cs="方正小标宋_GBK"/>
          <w:sz w:val="84"/>
          <w:szCs w:val="84"/>
          <w:lang w:val="en-US" w:eastAsia="zh-CN"/>
        </w:rPr>
        <w:t>4</w:t>
      </w:r>
      <w:r>
        <w:rPr>
          <w:rFonts w:hint="eastAsia" w:ascii="方正小标宋_GBK" w:hAnsi="方正小标宋_GBK" w:eastAsia="方正小标宋_GBK" w:cs="方正小标宋_GBK"/>
          <w:sz w:val="84"/>
          <w:szCs w:val="84"/>
        </w:rPr>
        <w:t>年度</w:t>
      </w:r>
    </w:p>
    <w:p w14:paraId="6934EBE9">
      <w:pPr>
        <w:pStyle w:val="12"/>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eastAsia="zh-CN"/>
        </w:rPr>
        <w:t>岳阳市审计局</w:t>
      </w:r>
      <w:r>
        <w:rPr>
          <w:rFonts w:hint="eastAsia" w:ascii="方正小标宋_GBK" w:hAnsi="方正小标宋_GBK" w:eastAsia="方正小标宋_GBK" w:cs="方正小标宋_GBK"/>
          <w:sz w:val="84"/>
          <w:szCs w:val="84"/>
        </w:rPr>
        <w:t>部门决算</w:t>
      </w:r>
    </w:p>
    <w:p w14:paraId="3A699C16">
      <w:pPr>
        <w:pStyle w:val="12"/>
        <w:jc w:val="center"/>
        <w:rPr>
          <w:rFonts w:hint="eastAsia" w:ascii="方正小标宋_GBK" w:hAnsi="方正小标宋_GBK" w:eastAsia="方正小标宋_GBK" w:cs="方正小标宋_GBK"/>
          <w:sz w:val="56"/>
          <w:szCs w:val="56"/>
        </w:rPr>
      </w:pPr>
    </w:p>
    <w:p w14:paraId="72C8FB58">
      <w:pPr>
        <w:pStyle w:val="12"/>
        <w:jc w:val="center"/>
        <w:rPr>
          <w:sz w:val="56"/>
          <w:szCs w:val="56"/>
        </w:rPr>
      </w:pPr>
    </w:p>
    <w:p w14:paraId="25018D25">
      <w:pPr>
        <w:pStyle w:val="12"/>
        <w:jc w:val="center"/>
        <w:rPr>
          <w:sz w:val="56"/>
          <w:szCs w:val="56"/>
        </w:rPr>
      </w:pPr>
    </w:p>
    <w:p w14:paraId="5EE73A38">
      <w:pPr>
        <w:pStyle w:val="12"/>
        <w:jc w:val="center"/>
        <w:rPr>
          <w:sz w:val="56"/>
          <w:szCs w:val="56"/>
        </w:rPr>
      </w:pPr>
    </w:p>
    <w:p w14:paraId="297571C5">
      <w:pPr>
        <w:pStyle w:val="12"/>
        <w:jc w:val="center"/>
        <w:rPr>
          <w:sz w:val="32"/>
          <w:szCs w:val="32"/>
        </w:rPr>
      </w:pPr>
    </w:p>
    <w:p w14:paraId="08493D1E">
      <w:pPr>
        <w:pStyle w:val="12"/>
        <w:jc w:val="center"/>
        <w:rPr>
          <w:sz w:val="32"/>
          <w:szCs w:val="32"/>
        </w:rPr>
      </w:pPr>
    </w:p>
    <w:p w14:paraId="5BD6E8BD">
      <w:pPr>
        <w:pStyle w:val="12"/>
        <w:jc w:val="center"/>
        <w:rPr>
          <w:sz w:val="32"/>
          <w:szCs w:val="32"/>
        </w:rPr>
      </w:pPr>
    </w:p>
    <w:p w14:paraId="1062A3B4">
      <w:pPr>
        <w:pStyle w:val="12"/>
        <w:jc w:val="center"/>
        <w:rPr>
          <w:sz w:val="32"/>
          <w:szCs w:val="32"/>
        </w:rPr>
      </w:pPr>
    </w:p>
    <w:p w14:paraId="6311DFC7">
      <w:pPr>
        <w:pStyle w:val="12"/>
        <w:jc w:val="center"/>
        <w:rPr>
          <w:sz w:val="32"/>
          <w:szCs w:val="32"/>
        </w:rPr>
      </w:pPr>
    </w:p>
    <w:p w14:paraId="50228290">
      <w:pPr>
        <w:pStyle w:val="12"/>
        <w:spacing w:line="540" w:lineRule="exact"/>
        <w:jc w:val="center"/>
        <w:rPr>
          <w:sz w:val="56"/>
          <w:szCs w:val="56"/>
        </w:rPr>
      </w:pPr>
    </w:p>
    <w:p w14:paraId="459C483D">
      <w:pPr>
        <w:pStyle w:val="12"/>
        <w:spacing w:line="500" w:lineRule="exact"/>
        <w:jc w:val="both"/>
        <w:rPr>
          <w:b/>
          <w:sz w:val="36"/>
          <w:szCs w:val="28"/>
        </w:rPr>
      </w:pPr>
    </w:p>
    <w:p w14:paraId="24F3309B">
      <w:pPr>
        <w:pStyle w:val="12"/>
        <w:spacing w:line="500" w:lineRule="exact"/>
        <w:jc w:val="center"/>
        <w:rPr>
          <w:b/>
          <w:sz w:val="36"/>
          <w:szCs w:val="28"/>
        </w:rPr>
      </w:pPr>
      <w:r>
        <w:rPr>
          <w:rFonts w:hint="eastAsia"/>
          <w:b/>
          <w:sz w:val="36"/>
          <w:szCs w:val="28"/>
        </w:rPr>
        <w:t>目录</w:t>
      </w:r>
    </w:p>
    <w:p w14:paraId="6CBD0C22">
      <w:pPr>
        <w:pStyle w:val="12"/>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第一部分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eastAsia="zh-CN"/>
        </w:rPr>
        <w:t>岳阳市审计局</w:t>
      </w:r>
      <w:r>
        <w:rPr>
          <w:rFonts w:hint="eastAsia" w:ascii="黑体" w:hAnsi="黑体" w:eastAsia="黑体" w:cs="黑体"/>
          <w:b w:val="0"/>
          <w:bCs/>
          <w:sz w:val="28"/>
          <w:szCs w:val="28"/>
          <w:lang w:eastAsia="zh-CN"/>
        </w:rPr>
        <w:t>部门（</w:t>
      </w:r>
      <w:r>
        <w:rPr>
          <w:rFonts w:hint="eastAsia" w:ascii="黑体" w:hAnsi="黑体" w:eastAsia="黑体" w:cs="黑体"/>
          <w:b w:val="0"/>
          <w:bCs/>
          <w:sz w:val="28"/>
          <w:szCs w:val="28"/>
        </w:rPr>
        <w:t>单位</w:t>
      </w:r>
      <w:r>
        <w:rPr>
          <w:rFonts w:hint="eastAsia" w:ascii="黑体" w:hAnsi="黑体" w:eastAsia="黑体" w:cs="黑体"/>
          <w:b w:val="0"/>
          <w:bCs/>
          <w:sz w:val="28"/>
          <w:szCs w:val="28"/>
          <w:lang w:eastAsia="zh-CN"/>
        </w:rPr>
        <w:t>）</w:t>
      </w:r>
      <w:r>
        <w:rPr>
          <w:rFonts w:hint="eastAsia" w:ascii="黑体" w:hAnsi="黑体" w:eastAsia="黑体" w:cs="黑体"/>
          <w:b w:val="0"/>
          <w:bCs/>
          <w:sz w:val="28"/>
          <w:szCs w:val="28"/>
        </w:rPr>
        <w:t>概况</w:t>
      </w:r>
    </w:p>
    <w:p w14:paraId="060CB1DC">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一、部门职责</w:t>
      </w:r>
    </w:p>
    <w:p w14:paraId="315E49DA">
      <w:pPr>
        <w:pStyle w:val="12"/>
        <w:spacing w:line="500" w:lineRule="exact"/>
        <w:ind w:firstLine="700" w:firstLineChars="25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二、机构设置</w:t>
      </w:r>
      <w:r>
        <w:rPr>
          <w:rFonts w:hint="eastAsia" w:ascii="仿宋_GB2312" w:hAnsi="仿宋_GB2312" w:eastAsia="仿宋_GB2312" w:cs="仿宋_GB2312"/>
          <w:sz w:val="28"/>
          <w:szCs w:val="28"/>
          <w:lang w:eastAsia="zh-CN"/>
        </w:rPr>
        <w:t>及决算单位构成</w:t>
      </w:r>
    </w:p>
    <w:p w14:paraId="3CE431DD">
      <w:pPr>
        <w:pStyle w:val="12"/>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第二部分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部门决算表</w:t>
      </w:r>
    </w:p>
    <w:p w14:paraId="4B1DE222">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一、收入支出决算总表</w:t>
      </w:r>
    </w:p>
    <w:p w14:paraId="28DAEA9B">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二、收入决算表</w:t>
      </w:r>
    </w:p>
    <w:p w14:paraId="4189E141">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三、支出决算表</w:t>
      </w:r>
    </w:p>
    <w:p w14:paraId="0621647E">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四、财政拨款收入支出决算总表</w:t>
      </w:r>
    </w:p>
    <w:p w14:paraId="28E0B171">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五、一般公共预算财政拨款支出决算表</w:t>
      </w:r>
    </w:p>
    <w:p w14:paraId="0A1DA969">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六、一般公共预算财政拨款基本支出决算明细表</w:t>
      </w:r>
    </w:p>
    <w:p w14:paraId="62E9A333">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七、政府性基金预算财政拨款收入支出决算表</w:t>
      </w:r>
    </w:p>
    <w:p w14:paraId="316661B6">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八、国有资本经营预算财政拨款支出决算表</w:t>
      </w:r>
    </w:p>
    <w:p w14:paraId="23827588">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九、财政拨款“三公”经费支出决算表</w:t>
      </w:r>
    </w:p>
    <w:p w14:paraId="69B4707F">
      <w:pPr>
        <w:pStyle w:val="12"/>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第三部分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部门决算情况说明</w:t>
      </w:r>
    </w:p>
    <w:p w14:paraId="30D2819C">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一、收入支出决算总体情况说明</w:t>
      </w:r>
    </w:p>
    <w:p w14:paraId="2F99AFEC">
      <w:pPr>
        <w:spacing w:line="500" w:lineRule="exact"/>
        <w:ind w:firstLine="700" w:firstLineChars="25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二、收入决算情况说明</w:t>
      </w:r>
    </w:p>
    <w:p w14:paraId="69796A82">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三、支出决算情况说明</w:t>
      </w:r>
    </w:p>
    <w:p w14:paraId="42F5763D">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四、财政拨款收入支出决算总体情况说明</w:t>
      </w:r>
    </w:p>
    <w:p w14:paraId="4551B6B2">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五、一般公共预算财政拨款支出决算情况说明</w:t>
      </w:r>
    </w:p>
    <w:p w14:paraId="0BC2CE30">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六、一般公共预算财政拨款基本支出决算情况说明</w:t>
      </w:r>
    </w:p>
    <w:p w14:paraId="11D85543">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七、政府性基金预算收入支出决算情况</w:t>
      </w:r>
    </w:p>
    <w:p w14:paraId="5F6B554B">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highlight w:val="yellow"/>
        </w:rPr>
      </w:pPr>
      <w:r>
        <w:rPr>
          <w:rFonts w:hint="eastAsia" w:ascii="仿宋_GB2312" w:hAnsi="仿宋_GB2312" w:eastAsia="仿宋_GB2312" w:cs="仿宋_GB2312"/>
          <w:color w:val="000000"/>
          <w:kern w:val="0"/>
          <w:sz w:val="28"/>
          <w:szCs w:val="28"/>
          <w:highlight w:val="none"/>
        </w:rPr>
        <w:t>八、</w:t>
      </w:r>
      <w:r>
        <w:rPr>
          <w:rFonts w:hint="eastAsia" w:ascii="仿宋_GB2312" w:hAnsi="仿宋_GB2312" w:eastAsia="仿宋_GB2312" w:cs="仿宋_GB2312"/>
          <w:sz w:val="28"/>
          <w:szCs w:val="28"/>
          <w:highlight w:val="none"/>
        </w:rPr>
        <w:t>国有资本经营预算财政拨款支出决算</w:t>
      </w:r>
      <w:r>
        <w:rPr>
          <w:rFonts w:hint="eastAsia" w:ascii="仿宋_GB2312" w:hAnsi="仿宋_GB2312" w:eastAsia="仿宋_GB2312" w:cs="仿宋_GB2312"/>
          <w:sz w:val="28"/>
          <w:szCs w:val="28"/>
          <w:highlight w:val="none"/>
          <w:lang w:eastAsia="zh-CN"/>
        </w:rPr>
        <w:t>情况</w:t>
      </w:r>
    </w:p>
    <w:p w14:paraId="71D9102A">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lang w:eastAsia="zh-CN"/>
        </w:rPr>
      </w:pPr>
      <w:r>
        <w:rPr>
          <w:rFonts w:hint="eastAsia" w:ascii="仿宋_GB2312" w:hAnsi="仿宋_GB2312" w:eastAsia="仿宋_GB2312" w:cs="仿宋_GB2312"/>
          <w:color w:val="000000"/>
          <w:kern w:val="0"/>
          <w:sz w:val="28"/>
          <w:szCs w:val="28"/>
        </w:rPr>
        <w:t>九、财政拨款三公经费支出决算情况说明</w:t>
      </w:r>
    </w:p>
    <w:p w14:paraId="371B64F5">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十、关于机关运行经费支出说明</w:t>
      </w:r>
    </w:p>
    <w:p w14:paraId="1624E73C">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十一、一般性支出情况说明</w:t>
      </w:r>
    </w:p>
    <w:p w14:paraId="6C86A3EF">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sz w:val="28"/>
          <w:szCs w:val="28"/>
        </w:rPr>
        <w:t>十二、</w:t>
      </w:r>
      <w:r>
        <w:rPr>
          <w:rFonts w:hint="eastAsia" w:ascii="仿宋_GB2312" w:hAnsi="仿宋_GB2312" w:eastAsia="仿宋_GB2312" w:cs="仿宋_GB2312"/>
          <w:color w:val="000000"/>
          <w:kern w:val="0"/>
          <w:sz w:val="28"/>
          <w:szCs w:val="28"/>
        </w:rPr>
        <w:t>关于政府采购支出说明</w:t>
      </w:r>
    </w:p>
    <w:p w14:paraId="5E15A642">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textAlignment w:val="auto"/>
        <w:rPr>
          <w:rFonts w:hint="eastAsia" w:ascii="仿宋_GB2312" w:hAnsi="仿宋_GB2312" w:eastAsia="仿宋_GB2312" w:cs="仿宋_GB2312"/>
          <w:color w:val="000000"/>
          <w:kern w:val="0"/>
          <w:sz w:val="28"/>
          <w:szCs w:val="28"/>
          <w:lang w:val="en-US" w:eastAsia="zh-CN" w:bidi="ar-SA"/>
        </w:rPr>
      </w:pPr>
      <w:r>
        <w:rPr>
          <w:rFonts w:hint="eastAsia" w:ascii="仿宋_GB2312" w:hAnsi="仿宋_GB2312" w:eastAsia="仿宋_GB2312" w:cs="仿宋_GB2312"/>
          <w:color w:val="000000"/>
          <w:kern w:val="0"/>
          <w:sz w:val="28"/>
          <w:szCs w:val="28"/>
          <w:lang w:val="en-US" w:eastAsia="zh-CN" w:bidi="ar-SA"/>
        </w:rPr>
        <w:t>十三、关于国有资产占用情况说明</w:t>
      </w:r>
    </w:p>
    <w:p w14:paraId="5BD7D26C">
      <w:pPr>
        <w:pStyle w:val="12"/>
        <w:spacing w:line="500" w:lineRule="exact"/>
        <w:ind w:firstLine="700" w:firstLineChars="250"/>
        <w:rPr>
          <w:rFonts w:hint="eastAsia" w:ascii="仿宋_GB2312" w:hAnsi="仿宋_GB2312" w:eastAsia="仿宋_GB2312" w:cs="仿宋_GB2312"/>
          <w:sz w:val="28"/>
          <w:szCs w:val="28"/>
          <w:highlight w:val="none"/>
        </w:rPr>
      </w:pPr>
      <w:r>
        <w:rPr>
          <w:rFonts w:hint="eastAsia" w:ascii="仿宋_GB2312" w:hAnsi="仿宋_GB2312" w:eastAsia="仿宋_GB2312" w:cs="仿宋_GB2312"/>
          <w:color w:val="000000"/>
          <w:kern w:val="0"/>
          <w:sz w:val="28"/>
          <w:szCs w:val="28"/>
          <w:highlight w:val="none"/>
          <w:lang w:val="en-US" w:eastAsia="zh-CN" w:bidi="ar-SA"/>
        </w:rPr>
        <w:t>十四、</w:t>
      </w:r>
      <w:r>
        <w:rPr>
          <w:rFonts w:hint="eastAsia" w:ascii="仿宋_GB2312" w:hAnsi="仿宋_GB2312" w:eastAsia="仿宋_GB2312" w:cs="仿宋_GB2312"/>
          <w:sz w:val="28"/>
          <w:szCs w:val="28"/>
          <w:highlight w:val="none"/>
        </w:rPr>
        <w:t>关于</w:t>
      </w:r>
      <w:r>
        <w:rPr>
          <w:rFonts w:hint="default" w:ascii="Times New Roman" w:hAnsi="Times New Roman" w:eastAsia="仿宋_GB2312" w:cs="Times New Roman"/>
          <w:sz w:val="28"/>
          <w:szCs w:val="28"/>
          <w:highlight w:val="none"/>
        </w:rPr>
        <w:t>202</w:t>
      </w:r>
      <w:r>
        <w:rPr>
          <w:rFonts w:hint="eastAsia" w:ascii="Times New Roman" w:hAnsi="Times New Roman" w:eastAsia="仿宋_GB2312" w:cs="Times New Roman"/>
          <w:sz w:val="28"/>
          <w:szCs w:val="28"/>
          <w:highlight w:val="none"/>
          <w:lang w:val="en-US" w:eastAsia="zh-CN"/>
        </w:rPr>
        <w:t>4</w:t>
      </w:r>
      <w:r>
        <w:rPr>
          <w:rFonts w:hint="eastAsia" w:ascii="仿宋_GB2312" w:hAnsi="仿宋_GB2312" w:eastAsia="仿宋_GB2312" w:cs="仿宋_GB2312"/>
          <w:sz w:val="28"/>
          <w:szCs w:val="28"/>
          <w:highlight w:val="none"/>
        </w:rPr>
        <w:t>年度</w:t>
      </w:r>
      <w:r>
        <w:rPr>
          <w:rFonts w:hint="eastAsia" w:ascii="仿宋_GB2312" w:hAnsi="仿宋_GB2312" w:eastAsia="仿宋_GB2312" w:cs="仿宋_GB2312"/>
          <w:sz w:val="28"/>
          <w:szCs w:val="28"/>
          <w:highlight w:val="none"/>
          <w:lang w:eastAsia="zh-CN"/>
        </w:rPr>
        <w:t>预算</w:t>
      </w:r>
      <w:r>
        <w:rPr>
          <w:rFonts w:hint="eastAsia" w:ascii="仿宋_GB2312" w:hAnsi="仿宋_GB2312" w:eastAsia="仿宋_GB2312" w:cs="仿宋_GB2312"/>
          <w:sz w:val="28"/>
          <w:szCs w:val="28"/>
          <w:highlight w:val="none"/>
        </w:rPr>
        <w:t>绩效</w:t>
      </w:r>
      <w:r>
        <w:rPr>
          <w:rFonts w:hint="eastAsia" w:ascii="仿宋_GB2312" w:hAnsi="仿宋_GB2312" w:eastAsia="仿宋_GB2312" w:cs="仿宋_GB2312"/>
          <w:sz w:val="28"/>
          <w:szCs w:val="28"/>
          <w:highlight w:val="none"/>
          <w:lang w:eastAsia="zh-CN"/>
        </w:rPr>
        <w:t>管理</w:t>
      </w:r>
      <w:r>
        <w:rPr>
          <w:rFonts w:hint="eastAsia" w:ascii="仿宋_GB2312" w:hAnsi="仿宋_GB2312" w:eastAsia="仿宋_GB2312" w:cs="仿宋_GB2312"/>
          <w:sz w:val="28"/>
          <w:szCs w:val="28"/>
          <w:highlight w:val="none"/>
        </w:rPr>
        <w:t>情况的说明</w:t>
      </w:r>
    </w:p>
    <w:p w14:paraId="51852483">
      <w:pPr>
        <w:pStyle w:val="12"/>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第四部分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名词解释</w:t>
      </w:r>
    </w:p>
    <w:p w14:paraId="7D866A9C">
      <w:pPr>
        <w:pStyle w:val="12"/>
        <w:spacing w:line="500" w:lineRule="exact"/>
        <w:rPr>
          <w:rFonts w:hint="eastAsia" w:ascii="黑体" w:hAnsi="黑体" w:eastAsia="黑体" w:cs="黑体"/>
          <w:b w:val="0"/>
          <w:bCs/>
          <w:sz w:val="28"/>
          <w:szCs w:val="28"/>
          <w:lang w:eastAsia="zh-CN"/>
        </w:rPr>
      </w:pPr>
      <w:r>
        <w:rPr>
          <w:rFonts w:hint="eastAsia" w:ascii="黑体" w:hAnsi="黑体" w:eastAsia="黑体" w:cs="黑体"/>
          <w:b w:val="0"/>
          <w:bCs/>
          <w:sz w:val="28"/>
          <w:szCs w:val="28"/>
        </w:rPr>
        <w:t>第</w:t>
      </w:r>
      <w:r>
        <w:rPr>
          <w:rFonts w:hint="eastAsia" w:hAnsi="黑体" w:cs="黑体"/>
          <w:b w:val="0"/>
          <w:bCs/>
          <w:sz w:val="28"/>
          <w:szCs w:val="28"/>
          <w:lang w:eastAsia="zh-CN"/>
        </w:rPr>
        <w:t>五</w:t>
      </w:r>
      <w:r>
        <w:rPr>
          <w:rFonts w:hint="eastAsia" w:ascii="黑体" w:hAnsi="黑体" w:eastAsia="黑体" w:cs="黑体"/>
          <w:b w:val="0"/>
          <w:bCs/>
          <w:sz w:val="28"/>
          <w:szCs w:val="28"/>
        </w:rPr>
        <w:t>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eastAsia="zh-CN"/>
        </w:rPr>
        <w:t>附件</w:t>
      </w:r>
    </w:p>
    <w:p w14:paraId="2E7F14A9">
      <w:pPr>
        <w:pStyle w:val="12"/>
        <w:jc w:val="center"/>
        <w:rPr>
          <w:rFonts w:hint="eastAsia" w:ascii="方正小标宋_GBK" w:hAnsi="方正小标宋_GBK" w:eastAsia="方正小标宋_GBK" w:cs="方正小标宋_GBK"/>
          <w:sz w:val="84"/>
          <w:szCs w:val="84"/>
        </w:rPr>
      </w:pPr>
    </w:p>
    <w:p w14:paraId="1095DEAB">
      <w:pPr>
        <w:pStyle w:val="12"/>
        <w:jc w:val="center"/>
        <w:rPr>
          <w:rFonts w:hint="eastAsia" w:ascii="方正小标宋_GBK" w:hAnsi="方正小标宋_GBK" w:eastAsia="方正小标宋_GBK" w:cs="方正小标宋_GBK"/>
          <w:sz w:val="84"/>
          <w:szCs w:val="84"/>
        </w:rPr>
      </w:pPr>
    </w:p>
    <w:p w14:paraId="0DEEC249">
      <w:pPr>
        <w:pStyle w:val="12"/>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 xml:space="preserve">第一部分 </w:t>
      </w:r>
    </w:p>
    <w:p w14:paraId="5C6A94F8">
      <w:pPr>
        <w:pStyle w:val="12"/>
        <w:jc w:val="center"/>
        <w:rPr>
          <w:rFonts w:hint="eastAsia" w:ascii="方正小标宋_GBK" w:hAnsi="方正小标宋_GBK" w:eastAsia="方正小标宋_GBK" w:cs="方正小标宋_GBK"/>
          <w:sz w:val="84"/>
          <w:szCs w:val="84"/>
        </w:rPr>
      </w:pPr>
    </w:p>
    <w:p w14:paraId="5EF69A9D">
      <w:pPr>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eastAsia="zh-CN"/>
        </w:rPr>
        <w:t>岳阳市审计局部门</w:t>
      </w:r>
      <w:r>
        <w:rPr>
          <w:rFonts w:hint="eastAsia" w:ascii="方正小标宋_GBK" w:hAnsi="方正小标宋_GBK" w:eastAsia="方正小标宋_GBK" w:cs="方正小标宋_GBK"/>
          <w:sz w:val="84"/>
          <w:szCs w:val="84"/>
        </w:rPr>
        <w:t>概况</w:t>
      </w:r>
    </w:p>
    <w:p w14:paraId="77A0C778">
      <w:pPr>
        <w:pStyle w:val="7"/>
        <w:rPr>
          <w:rFonts w:hint="eastAsia" w:ascii="方正小标宋_GBK" w:hAnsi="方正小标宋_GBK" w:eastAsia="方正小标宋_GBK" w:cs="方正小标宋_GBK"/>
          <w:sz w:val="84"/>
          <w:szCs w:val="84"/>
        </w:rPr>
      </w:pPr>
    </w:p>
    <w:p w14:paraId="397AC3FB">
      <w:pPr>
        <w:pStyle w:val="3"/>
        <w:rPr>
          <w:rFonts w:hint="eastAsia" w:ascii="方正小标宋_GBK" w:hAnsi="方正小标宋_GBK" w:eastAsia="方正小标宋_GBK" w:cs="方正小标宋_GBK"/>
          <w:sz w:val="84"/>
          <w:szCs w:val="84"/>
        </w:rPr>
      </w:pPr>
    </w:p>
    <w:p w14:paraId="13F2C40A">
      <w:pPr>
        <w:rPr>
          <w:rFonts w:hint="eastAsia" w:ascii="方正小标宋_GBK" w:hAnsi="方正小标宋_GBK" w:eastAsia="方正小标宋_GBK" w:cs="方正小标宋_GBK"/>
          <w:sz w:val="84"/>
          <w:szCs w:val="84"/>
        </w:rPr>
      </w:pPr>
    </w:p>
    <w:p w14:paraId="128B0AE2">
      <w:pPr>
        <w:pStyle w:val="7"/>
        <w:rPr>
          <w:rFonts w:hint="eastAsia" w:ascii="方正小标宋_GBK" w:hAnsi="方正小标宋_GBK" w:eastAsia="方正小标宋_GBK" w:cs="方正小标宋_GBK"/>
          <w:sz w:val="84"/>
          <w:szCs w:val="84"/>
        </w:rPr>
      </w:pPr>
    </w:p>
    <w:p w14:paraId="1469560B">
      <w:pPr>
        <w:pStyle w:val="3"/>
        <w:rPr>
          <w:rFonts w:hint="eastAsia" w:ascii="方正小标宋_GBK" w:hAnsi="方正小标宋_GBK" w:eastAsia="方正小标宋_GBK" w:cs="方正小标宋_GBK"/>
          <w:sz w:val="84"/>
          <w:szCs w:val="84"/>
        </w:rPr>
      </w:pPr>
    </w:p>
    <w:p w14:paraId="55E857AF">
      <w:pPr>
        <w:pStyle w:val="13"/>
        <w:numPr>
          <w:ilvl w:val="0"/>
          <w:numId w:val="1"/>
        </w:numPr>
        <w:ind w:firstLineChars="0"/>
        <w:jc w:val="left"/>
        <w:rPr>
          <w:rFonts w:hint="eastAsia" w:ascii="黑体" w:hAnsi="黑体" w:eastAsia="黑体" w:cs="黑体"/>
          <w:b w:val="0"/>
          <w:bCs w:val="0"/>
          <w:sz w:val="32"/>
          <w:szCs w:val="32"/>
        </w:rPr>
      </w:pPr>
      <w:r>
        <w:rPr>
          <w:rFonts w:hint="eastAsia" w:ascii="黑体" w:hAnsi="黑体" w:eastAsia="黑体" w:cs="黑体"/>
          <w:b w:val="0"/>
          <w:bCs w:val="0"/>
          <w:sz w:val="32"/>
          <w:szCs w:val="32"/>
        </w:rPr>
        <w:t>部门职责</w:t>
      </w:r>
    </w:p>
    <w:p w14:paraId="4C75FDAD">
      <w:pPr>
        <w:keepNext w:val="0"/>
        <w:keepLines w:val="0"/>
        <w:pageBreakBefore w:val="0"/>
        <w:widowControl w:val="0"/>
        <w:kinsoku/>
        <w:wordWrap/>
        <w:overflowPunct/>
        <w:topLinePunct w:val="0"/>
        <w:bidi w:val="0"/>
        <w:snapToGrid/>
        <w:spacing w:line="480" w:lineRule="exact"/>
        <w:ind w:firstLine="700" w:firstLineChars="25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岳阳市审计局是市人民政府主管审计工作的正处级机构，主要负有以下职责：</w:t>
      </w:r>
    </w:p>
    <w:p w14:paraId="3DB93777">
      <w:pPr>
        <w:keepNext w:val="0"/>
        <w:keepLines w:val="0"/>
        <w:pageBreakBefore w:val="0"/>
        <w:widowControl w:val="0"/>
        <w:kinsoku/>
        <w:wordWrap/>
        <w:overflowPunct/>
        <w:topLinePunct w:val="0"/>
        <w:bidi w:val="0"/>
        <w:snapToGrid/>
        <w:spacing w:line="480" w:lineRule="exact"/>
        <w:ind w:firstLine="700" w:firstLineChars="25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（一）主管全市审计工作。</w:t>
      </w:r>
    </w:p>
    <w:p w14:paraId="68D9A08B">
      <w:pPr>
        <w:keepNext w:val="0"/>
        <w:keepLines w:val="0"/>
        <w:pageBreakBefore w:val="0"/>
        <w:widowControl w:val="0"/>
        <w:kinsoku/>
        <w:wordWrap/>
        <w:overflowPunct/>
        <w:topLinePunct w:val="0"/>
        <w:bidi w:val="0"/>
        <w:snapToGrid/>
        <w:spacing w:line="480" w:lineRule="exact"/>
        <w:ind w:firstLine="700" w:firstLineChars="25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贯彻执行国家关于审计工作的方针、政策和法律法规，研究拟订我市审计工作方针、原则，参与起草审计、财政经济及有关地方性法规、规章草案，制定审计业务规章制度，并监督执行。制定并组织实施全市审计工作发展规划和专业领域审计工作规划以及年度审计计划。对直接审计、调查和核查的事项依法进行审计评价，做出审计决定或提出审计建议。</w:t>
      </w:r>
    </w:p>
    <w:p w14:paraId="25CEB153">
      <w:pPr>
        <w:keepNext w:val="0"/>
        <w:keepLines w:val="0"/>
        <w:pageBreakBefore w:val="0"/>
        <w:widowControl w:val="0"/>
        <w:kinsoku/>
        <w:wordWrap/>
        <w:overflowPunct/>
        <w:topLinePunct w:val="0"/>
        <w:bidi w:val="0"/>
        <w:snapToGrid/>
        <w:spacing w:line="480" w:lineRule="exact"/>
        <w:ind w:firstLine="700" w:firstLineChars="25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（三）向市人民政府报告和向市人民政府有关部门通报审计情况，提出制定和完善有关政策法规、宏观调控措施以及管理体制、机制建设的建议。</w:t>
      </w:r>
    </w:p>
    <w:p w14:paraId="29D8262E">
      <w:pPr>
        <w:keepNext w:val="0"/>
        <w:keepLines w:val="0"/>
        <w:pageBreakBefore w:val="0"/>
        <w:widowControl w:val="0"/>
        <w:kinsoku/>
        <w:wordWrap/>
        <w:overflowPunct/>
        <w:topLinePunct w:val="0"/>
        <w:bidi w:val="0"/>
        <w:snapToGrid/>
        <w:spacing w:line="480" w:lineRule="exact"/>
        <w:ind w:firstLine="700" w:firstLineChars="25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（四）向市人民政府提出年度市本级预算执行和其他财政收支情况的审计结果报告。</w:t>
      </w:r>
    </w:p>
    <w:p w14:paraId="43C02158">
      <w:pPr>
        <w:keepNext w:val="0"/>
        <w:keepLines w:val="0"/>
        <w:pageBreakBefore w:val="0"/>
        <w:widowControl w:val="0"/>
        <w:kinsoku/>
        <w:wordWrap/>
        <w:overflowPunct/>
        <w:topLinePunct w:val="0"/>
        <w:bidi w:val="0"/>
        <w:snapToGrid/>
        <w:spacing w:line="480" w:lineRule="exact"/>
        <w:ind w:firstLine="700" w:firstLineChars="25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（五）直接审计下列事项，出具审计报告，在法定职权范围内作出审计决定或向有关主管机关提出处理处罚的建议：</w:t>
      </w:r>
    </w:p>
    <w:p w14:paraId="6EB0D912">
      <w:pPr>
        <w:keepNext w:val="0"/>
        <w:keepLines w:val="0"/>
        <w:pageBreakBefore w:val="0"/>
        <w:widowControl w:val="0"/>
        <w:kinsoku/>
        <w:wordWrap/>
        <w:overflowPunct/>
        <w:topLinePunct w:val="0"/>
        <w:bidi w:val="0"/>
        <w:snapToGrid/>
        <w:spacing w:line="480" w:lineRule="exact"/>
        <w:ind w:firstLine="700" w:firstLineChars="25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1、市本级财政预算执行情况和其他财政收支。</w:t>
      </w:r>
    </w:p>
    <w:p w14:paraId="564075DF">
      <w:pPr>
        <w:keepNext w:val="0"/>
        <w:keepLines w:val="0"/>
        <w:pageBreakBefore w:val="0"/>
        <w:widowControl w:val="0"/>
        <w:kinsoku/>
        <w:wordWrap/>
        <w:overflowPunct/>
        <w:topLinePunct w:val="0"/>
        <w:bidi w:val="0"/>
        <w:snapToGrid/>
        <w:spacing w:line="480" w:lineRule="exact"/>
        <w:ind w:firstLine="700" w:firstLineChars="25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2、县（市）区人民政府预算执行情况、决算和其他财政收支。</w:t>
      </w:r>
    </w:p>
    <w:p w14:paraId="52FC47BF">
      <w:pPr>
        <w:keepNext w:val="0"/>
        <w:keepLines w:val="0"/>
        <w:pageBreakBefore w:val="0"/>
        <w:widowControl w:val="0"/>
        <w:kinsoku/>
        <w:wordWrap/>
        <w:overflowPunct/>
        <w:topLinePunct w:val="0"/>
        <w:bidi w:val="0"/>
        <w:snapToGrid/>
        <w:spacing w:line="480" w:lineRule="exact"/>
        <w:ind w:firstLine="700" w:firstLineChars="25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3、市直各部门、事业单位及其下属单位预算执行情况、决算和其他财政收支。</w:t>
      </w:r>
    </w:p>
    <w:p w14:paraId="5F60A1EC">
      <w:pPr>
        <w:keepNext w:val="0"/>
        <w:keepLines w:val="0"/>
        <w:pageBreakBefore w:val="0"/>
        <w:widowControl w:val="0"/>
        <w:kinsoku/>
        <w:wordWrap/>
        <w:overflowPunct/>
        <w:topLinePunct w:val="0"/>
        <w:bidi w:val="0"/>
        <w:snapToGrid/>
        <w:spacing w:line="480" w:lineRule="exact"/>
        <w:ind w:firstLine="700" w:firstLineChars="25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4、市属国有企业和金融机构、市属国有资本占控股或主导地位的企业和金融机构的资产、负债和损益情况。</w:t>
      </w:r>
    </w:p>
    <w:p w14:paraId="6119503A">
      <w:pPr>
        <w:keepNext w:val="0"/>
        <w:keepLines w:val="0"/>
        <w:pageBreakBefore w:val="0"/>
        <w:widowControl w:val="0"/>
        <w:kinsoku/>
        <w:wordWrap/>
        <w:overflowPunct/>
        <w:topLinePunct w:val="0"/>
        <w:bidi w:val="0"/>
        <w:snapToGrid/>
        <w:spacing w:line="480" w:lineRule="exact"/>
        <w:ind w:firstLine="700" w:firstLineChars="25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5、市人民政府部门管理的和其他单位受市人民政府委托管理的社会保障基金、社会捐赠资金以及其他有关基金、资金的财务收支。</w:t>
      </w:r>
    </w:p>
    <w:p w14:paraId="6F4C5BE2">
      <w:pPr>
        <w:keepNext w:val="0"/>
        <w:keepLines w:val="0"/>
        <w:pageBreakBefore w:val="0"/>
        <w:widowControl w:val="0"/>
        <w:kinsoku/>
        <w:wordWrap/>
        <w:overflowPunct/>
        <w:topLinePunct w:val="0"/>
        <w:bidi w:val="0"/>
        <w:snapToGrid/>
        <w:spacing w:line="480" w:lineRule="exact"/>
        <w:ind w:firstLine="700" w:firstLineChars="25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6、市人民政府投资和以市人民政府投资为主的建设项目的预算执行情况和决算。</w:t>
      </w:r>
    </w:p>
    <w:p w14:paraId="66F00F4A">
      <w:pPr>
        <w:keepNext w:val="0"/>
        <w:keepLines w:val="0"/>
        <w:pageBreakBefore w:val="0"/>
        <w:widowControl w:val="0"/>
        <w:kinsoku/>
        <w:wordWrap/>
        <w:overflowPunct/>
        <w:topLinePunct w:val="0"/>
        <w:bidi w:val="0"/>
        <w:snapToGrid/>
        <w:spacing w:line="480" w:lineRule="exact"/>
        <w:ind w:firstLine="700" w:firstLineChars="25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7、市人民政府接收的国际组织和外国政府援助、贷款项目以及赠款项目的财务收支。</w:t>
      </w:r>
    </w:p>
    <w:p w14:paraId="0341B7E5">
      <w:pPr>
        <w:keepNext w:val="0"/>
        <w:keepLines w:val="0"/>
        <w:pageBreakBefore w:val="0"/>
        <w:widowControl w:val="0"/>
        <w:kinsoku/>
        <w:wordWrap/>
        <w:overflowPunct/>
        <w:topLinePunct w:val="0"/>
        <w:bidi w:val="0"/>
        <w:snapToGrid/>
        <w:spacing w:line="480" w:lineRule="exact"/>
        <w:ind w:firstLine="700" w:firstLineChars="25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8、强化计算机辅助审计，加强对财政资金及其它资金运用情况的绩效审计。</w:t>
      </w:r>
    </w:p>
    <w:p w14:paraId="1820724C">
      <w:pPr>
        <w:keepNext w:val="0"/>
        <w:keepLines w:val="0"/>
        <w:pageBreakBefore w:val="0"/>
        <w:widowControl w:val="0"/>
        <w:kinsoku/>
        <w:wordWrap/>
        <w:overflowPunct/>
        <w:topLinePunct w:val="0"/>
        <w:bidi w:val="0"/>
        <w:snapToGrid/>
        <w:spacing w:line="480" w:lineRule="exact"/>
        <w:ind w:firstLine="700" w:firstLineChars="25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9、法律、法规规定应由市审计局审计的其他事项。</w:t>
      </w:r>
    </w:p>
    <w:p w14:paraId="77EBC34F">
      <w:pPr>
        <w:keepNext w:val="0"/>
        <w:keepLines w:val="0"/>
        <w:pageBreakBefore w:val="0"/>
        <w:widowControl w:val="0"/>
        <w:kinsoku/>
        <w:wordWrap/>
        <w:overflowPunct/>
        <w:topLinePunct w:val="0"/>
        <w:bidi w:val="0"/>
        <w:snapToGrid/>
        <w:spacing w:line="480" w:lineRule="exact"/>
        <w:ind w:firstLine="700" w:firstLineChars="25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负责市领导干部经济责任审计领导小组办公室日常工作，按规定对市管党政领导干部及依法属于市审计局监督对象的其他单位主要负责人实施经济责任审计，协调各成员单位运用经济责任审计成果。指导全市经济责任审计工作。</w:t>
      </w:r>
    </w:p>
    <w:p w14:paraId="2F827795">
      <w:pPr>
        <w:keepNext w:val="0"/>
        <w:keepLines w:val="0"/>
        <w:pageBreakBefore w:val="0"/>
        <w:widowControl w:val="0"/>
        <w:kinsoku/>
        <w:wordWrap/>
        <w:overflowPunct/>
        <w:topLinePunct w:val="0"/>
        <w:bidi w:val="0"/>
        <w:snapToGrid/>
        <w:spacing w:line="480" w:lineRule="exact"/>
        <w:ind w:firstLine="700" w:firstLineChars="25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（七）组织实施对国家财经法律、法规、规章、政策和宏观调控措施执行情况、财政预算管理或国有资产管理使用等与国家财政收支有关的特定事项进行专项审计调查。</w:t>
      </w:r>
    </w:p>
    <w:p w14:paraId="7C6B8C88">
      <w:pPr>
        <w:keepNext w:val="0"/>
        <w:keepLines w:val="0"/>
        <w:pageBreakBefore w:val="0"/>
        <w:widowControl w:val="0"/>
        <w:kinsoku/>
        <w:wordWrap/>
        <w:overflowPunct/>
        <w:topLinePunct w:val="0"/>
        <w:bidi w:val="0"/>
        <w:snapToGrid/>
        <w:spacing w:line="480" w:lineRule="exact"/>
        <w:ind w:firstLine="700" w:firstLineChars="25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（八）负责审计署和省审计厅授权的审计项目和专项审计调查项目的组织实施。</w:t>
      </w:r>
    </w:p>
    <w:p w14:paraId="1BA4F6A3">
      <w:pPr>
        <w:keepNext w:val="0"/>
        <w:keepLines w:val="0"/>
        <w:pageBreakBefore w:val="0"/>
        <w:widowControl w:val="0"/>
        <w:kinsoku/>
        <w:wordWrap/>
        <w:overflowPunct/>
        <w:topLinePunct w:val="0"/>
        <w:bidi w:val="0"/>
        <w:snapToGrid/>
        <w:spacing w:line="480" w:lineRule="exact"/>
        <w:ind w:firstLine="700" w:firstLineChars="25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（九）依法检查审计决定执行情况，督促纠正审计查处的问题和落实审计决定，依法办理被审计单位对审计决定提请行政复议、行政诉讼或市人民政府裁决中的有关事项。协助配合有关部门查处相关重大案件。</w:t>
      </w:r>
    </w:p>
    <w:p w14:paraId="062229F5">
      <w:pPr>
        <w:keepNext w:val="0"/>
        <w:keepLines w:val="0"/>
        <w:pageBreakBefore w:val="0"/>
        <w:widowControl w:val="0"/>
        <w:kinsoku/>
        <w:wordWrap/>
        <w:overflowPunct/>
        <w:topLinePunct w:val="0"/>
        <w:bidi w:val="0"/>
        <w:snapToGrid/>
        <w:spacing w:line="480" w:lineRule="exact"/>
        <w:ind w:firstLine="700" w:firstLineChars="25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（十）指导和监督内部审计工作，核查社会审计机构对依法属于审计监督对象的单位出具的相关审计报告。</w:t>
      </w:r>
    </w:p>
    <w:p w14:paraId="79ECA9F3">
      <w:pPr>
        <w:keepNext w:val="0"/>
        <w:keepLines w:val="0"/>
        <w:pageBreakBefore w:val="0"/>
        <w:widowControl w:val="0"/>
        <w:kinsoku/>
        <w:wordWrap/>
        <w:overflowPunct/>
        <w:topLinePunct w:val="0"/>
        <w:bidi w:val="0"/>
        <w:snapToGrid/>
        <w:spacing w:line="480" w:lineRule="exact"/>
        <w:ind w:firstLine="700" w:firstLineChars="25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（十一）与县（市）区人民政府共同领导县（市）区审计机关。</w:t>
      </w:r>
    </w:p>
    <w:p w14:paraId="4D6BD43B">
      <w:pPr>
        <w:keepNext w:val="0"/>
        <w:keepLines w:val="0"/>
        <w:pageBreakBefore w:val="0"/>
        <w:widowControl w:val="0"/>
        <w:kinsoku/>
        <w:wordWrap/>
        <w:overflowPunct/>
        <w:topLinePunct w:val="0"/>
        <w:bidi w:val="0"/>
        <w:snapToGrid/>
        <w:spacing w:line="480" w:lineRule="exact"/>
        <w:ind w:firstLine="700" w:firstLineChars="25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（十二）组织审计我市驻外非经营性机构的财务收支，依法通过适当方式组织审计市属企业和金融机构的境外资产、负债和损益。</w:t>
      </w:r>
    </w:p>
    <w:p w14:paraId="4C9A8524">
      <w:pPr>
        <w:keepNext w:val="0"/>
        <w:keepLines w:val="0"/>
        <w:pageBreakBefore w:val="0"/>
        <w:widowControl w:val="0"/>
        <w:kinsoku/>
        <w:wordWrap/>
        <w:overflowPunct/>
        <w:topLinePunct w:val="0"/>
        <w:bidi w:val="0"/>
        <w:snapToGrid/>
        <w:spacing w:line="480" w:lineRule="exact"/>
        <w:ind w:firstLine="700" w:firstLineChars="25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（十三）指导和推广信息技术在全市审计系统的应用，组织全市审计机关实施审计管理系统和现场审计系统的建设。组织审计专业培训。</w:t>
      </w:r>
    </w:p>
    <w:p w14:paraId="1F05DCD4">
      <w:pPr>
        <w:keepNext w:val="0"/>
        <w:keepLines w:val="0"/>
        <w:pageBreakBefore w:val="0"/>
        <w:widowControl w:val="0"/>
        <w:kinsoku/>
        <w:wordWrap/>
        <w:overflowPunct/>
        <w:topLinePunct w:val="0"/>
        <w:bidi w:val="0"/>
        <w:snapToGrid/>
        <w:spacing w:line="480" w:lineRule="exact"/>
        <w:ind w:firstLine="700" w:firstLineChars="25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（十四）承办市人民政府交办的其他事项</w:t>
      </w:r>
    </w:p>
    <w:p w14:paraId="2DC82B10">
      <w:pPr>
        <w:widowControl/>
        <w:spacing w:line="600" w:lineRule="exact"/>
        <w:rPr>
          <w:rFonts w:hint="eastAsia" w:ascii="黑体" w:hAnsi="黑体" w:eastAsia="黑体" w:cs="黑体"/>
          <w:b w:val="0"/>
          <w:bCs/>
          <w:kern w:val="0"/>
          <w:sz w:val="32"/>
          <w:szCs w:val="32"/>
        </w:rPr>
      </w:pPr>
      <w:r>
        <w:rPr>
          <w:rFonts w:hint="eastAsia" w:ascii="黑体" w:hAnsi="黑体" w:eastAsia="黑体" w:cs="黑体"/>
          <w:b w:val="0"/>
          <w:bCs/>
          <w:kern w:val="0"/>
          <w:sz w:val="32"/>
          <w:szCs w:val="32"/>
        </w:rPr>
        <w:t>二、机构设置及决算单位构成</w:t>
      </w:r>
    </w:p>
    <w:p w14:paraId="6FD20FFF">
      <w:pPr>
        <w:keepNext w:val="0"/>
        <w:keepLines w:val="0"/>
        <w:pageBreakBefore w:val="0"/>
        <w:widowControl w:val="0"/>
        <w:kinsoku/>
        <w:wordWrap/>
        <w:overflowPunct/>
        <w:topLinePunct w:val="0"/>
        <w:bidi w:val="0"/>
        <w:snapToGrid/>
        <w:spacing w:line="480" w:lineRule="exact"/>
        <w:ind w:firstLine="800" w:firstLineChars="250"/>
        <w:jc w:val="left"/>
        <w:textAlignment w:val="auto"/>
        <w:rPr>
          <w:rFonts w:hint="eastAsia" w:ascii="仿宋_GB2312" w:hAnsi="仿宋_GB2312" w:eastAsia="仿宋_GB2312" w:cs="仿宋_GB2312"/>
          <w:sz w:val="28"/>
          <w:szCs w:val="28"/>
        </w:rPr>
      </w:pPr>
      <w:r>
        <w:rPr>
          <w:rFonts w:hint="eastAsia" w:ascii="Times New Roman" w:hAnsi="Times New Roman" w:eastAsia="仿宋_GB2312" w:cs="仿宋_GB2312"/>
          <w:bCs/>
          <w:kern w:val="0"/>
          <w:sz w:val="32"/>
          <w:szCs w:val="32"/>
        </w:rPr>
        <w:t>（一）内设机构设置。</w:t>
      </w:r>
      <w:r>
        <w:rPr>
          <w:rFonts w:hint="eastAsia" w:ascii="仿宋_GB2312" w:hAnsi="仿宋_GB2312" w:eastAsia="仿宋_GB2312" w:cs="仿宋_GB2312"/>
          <w:sz w:val="28"/>
          <w:szCs w:val="28"/>
        </w:rPr>
        <w:t>根据编办核定，我局内设科室2</w:t>
      </w:r>
      <w:r>
        <w:rPr>
          <w:rFonts w:hint="eastAsia" w:ascii="仿宋_GB2312" w:hAnsi="仿宋_GB2312" w:eastAsia="仿宋_GB2312" w:cs="仿宋_GB2312"/>
          <w:sz w:val="28"/>
          <w:szCs w:val="28"/>
          <w:lang w:val="en-US" w:eastAsia="zh-CN"/>
        </w:rPr>
        <w:t>4</w:t>
      </w:r>
      <w:r>
        <w:rPr>
          <w:rFonts w:hint="eastAsia" w:ascii="仿宋_GB2312" w:hAnsi="仿宋_GB2312" w:eastAsia="仿宋_GB2312" w:cs="仿宋_GB2312"/>
          <w:sz w:val="28"/>
          <w:szCs w:val="28"/>
        </w:rPr>
        <w:t>个，所属事业单位</w:t>
      </w:r>
      <w:r>
        <w:rPr>
          <w:rFonts w:hint="eastAsia" w:ascii="仿宋_GB2312" w:hAnsi="仿宋_GB2312" w:eastAsia="仿宋_GB2312" w:cs="仿宋_GB2312"/>
          <w:sz w:val="28"/>
          <w:szCs w:val="28"/>
          <w:lang w:val="en-US" w:eastAsia="zh-CN"/>
        </w:rPr>
        <w:t>2</w:t>
      </w:r>
      <w:r>
        <w:rPr>
          <w:rFonts w:hint="eastAsia" w:ascii="仿宋_GB2312" w:hAnsi="仿宋_GB2312" w:eastAsia="仿宋_GB2312" w:cs="仿宋_GB2312"/>
          <w:sz w:val="28"/>
          <w:szCs w:val="28"/>
        </w:rPr>
        <w:t>个，全部纳入20</w:t>
      </w:r>
      <w:r>
        <w:rPr>
          <w:rFonts w:hint="eastAsia" w:ascii="仿宋_GB2312" w:hAnsi="仿宋_GB2312" w:eastAsia="仿宋_GB2312" w:cs="仿宋_GB2312"/>
          <w:sz w:val="28"/>
          <w:szCs w:val="28"/>
          <w:lang w:val="en-US" w:eastAsia="zh-CN"/>
        </w:rPr>
        <w:t>24</w:t>
      </w:r>
      <w:r>
        <w:rPr>
          <w:rFonts w:hint="eastAsia" w:ascii="仿宋_GB2312" w:hAnsi="仿宋_GB2312" w:eastAsia="仿宋_GB2312" w:cs="仿宋_GB2312"/>
          <w:sz w:val="28"/>
          <w:szCs w:val="28"/>
        </w:rPr>
        <w:t>年部门预算编制范围。</w:t>
      </w:r>
    </w:p>
    <w:p w14:paraId="77CCB370">
      <w:pPr>
        <w:keepNext w:val="0"/>
        <w:keepLines w:val="0"/>
        <w:pageBreakBefore w:val="0"/>
        <w:widowControl w:val="0"/>
        <w:kinsoku/>
        <w:wordWrap/>
        <w:overflowPunct/>
        <w:topLinePunct w:val="0"/>
        <w:bidi w:val="0"/>
        <w:snapToGrid/>
        <w:spacing w:line="480" w:lineRule="exact"/>
        <w:ind w:firstLine="700" w:firstLineChars="25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内设科室分别是办公室、</w:t>
      </w:r>
      <w:r>
        <w:rPr>
          <w:rFonts w:hint="eastAsia" w:ascii="仿宋_GB2312" w:hAnsi="仿宋_GB2312" w:eastAsia="仿宋_GB2312" w:cs="仿宋_GB2312"/>
          <w:sz w:val="28"/>
          <w:szCs w:val="28"/>
          <w:lang w:eastAsia="zh-CN"/>
        </w:rPr>
        <w:t>机关工会、审计执行科、</w:t>
      </w:r>
      <w:r>
        <w:rPr>
          <w:rFonts w:hint="eastAsia" w:ascii="仿宋_GB2312" w:hAnsi="仿宋_GB2312" w:eastAsia="仿宋_GB2312" w:cs="仿宋_GB2312"/>
          <w:sz w:val="28"/>
          <w:szCs w:val="28"/>
        </w:rPr>
        <w:t>计划统计科、秘书科、人事科、机关党委、内审科、法制科、行</w:t>
      </w:r>
      <w:r>
        <w:rPr>
          <w:rFonts w:hint="eastAsia" w:ascii="仿宋_GB2312" w:hAnsi="仿宋_GB2312" w:eastAsia="仿宋_GB2312" w:cs="仿宋_GB2312"/>
          <w:sz w:val="28"/>
          <w:szCs w:val="28"/>
          <w:lang w:eastAsia="zh-CN"/>
        </w:rPr>
        <w:t>政</w:t>
      </w:r>
      <w:r>
        <w:rPr>
          <w:rFonts w:hint="eastAsia" w:ascii="仿宋_GB2312" w:hAnsi="仿宋_GB2312" w:eastAsia="仿宋_GB2312" w:cs="仿宋_GB2312"/>
          <w:sz w:val="28"/>
          <w:szCs w:val="28"/>
        </w:rPr>
        <w:t>事业科、资源环境科、农业科、经贸外</w:t>
      </w:r>
      <w:r>
        <w:rPr>
          <w:rFonts w:hint="eastAsia" w:ascii="仿宋_GB2312" w:hAnsi="仿宋_GB2312" w:eastAsia="仿宋_GB2312" w:cs="仿宋_GB2312"/>
          <w:sz w:val="28"/>
          <w:szCs w:val="28"/>
          <w:lang w:eastAsia="zh-CN"/>
        </w:rPr>
        <w:t>资</w:t>
      </w:r>
      <w:r>
        <w:rPr>
          <w:rFonts w:hint="eastAsia" w:ascii="仿宋_GB2312" w:hAnsi="仿宋_GB2312" w:eastAsia="仿宋_GB2312" w:cs="仿宋_GB2312"/>
          <w:sz w:val="28"/>
          <w:szCs w:val="28"/>
        </w:rPr>
        <w:t>科、党政经责科、国企经责科、重大项目科、政策跟踪科、社会保障科、财金科、投资一科、投资二科、审计技术科、老干科、园区审计科。</w:t>
      </w:r>
    </w:p>
    <w:p w14:paraId="2AA1E08F">
      <w:pPr>
        <w:keepNext w:val="0"/>
        <w:keepLines w:val="0"/>
        <w:pageBreakBefore w:val="0"/>
        <w:widowControl w:val="0"/>
        <w:kinsoku/>
        <w:wordWrap/>
        <w:overflowPunct/>
        <w:topLinePunct w:val="0"/>
        <w:bidi w:val="0"/>
        <w:snapToGrid/>
        <w:spacing w:line="480" w:lineRule="exact"/>
        <w:ind w:firstLine="700" w:firstLineChars="25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所属事业单位是审计服务中心</w:t>
      </w:r>
      <w:r>
        <w:rPr>
          <w:rFonts w:hint="eastAsia" w:ascii="仿宋_GB2312" w:hAnsi="仿宋_GB2312" w:eastAsia="仿宋_GB2312" w:cs="仿宋_GB2312"/>
          <w:sz w:val="28"/>
          <w:szCs w:val="28"/>
          <w:lang w:eastAsia="zh-CN"/>
        </w:rPr>
        <w:t>、审计监督服务中心</w:t>
      </w:r>
      <w:r>
        <w:rPr>
          <w:rFonts w:hint="eastAsia" w:ascii="仿宋_GB2312" w:hAnsi="仿宋_GB2312" w:eastAsia="仿宋_GB2312" w:cs="仿宋_GB2312"/>
          <w:sz w:val="28"/>
          <w:szCs w:val="28"/>
        </w:rPr>
        <w:t>。</w:t>
      </w:r>
    </w:p>
    <w:p w14:paraId="562CC2C6">
      <w:pPr>
        <w:numPr>
          <w:ilvl w:val="0"/>
          <w:numId w:val="0"/>
        </w:numPr>
        <w:spacing w:beforeLines="0" w:afterLines="0" w:line="560" w:lineRule="exact"/>
        <w:ind w:firstLine="640" w:firstLineChars="200"/>
        <w:rPr>
          <w:rFonts w:hint="eastAsia" w:ascii="仿宋_GB2312" w:hAnsi="仿宋_GB2312" w:eastAsia="仿宋_GB2312" w:cs="仿宋_GB2312"/>
          <w:sz w:val="28"/>
          <w:szCs w:val="28"/>
          <w:lang w:val="en-US"/>
        </w:rPr>
      </w:pPr>
      <w:r>
        <w:rPr>
          <w:rFonts w:hint="eastAsia" w:ascii="Times New Roman" w:hAnsi="Times New Roman" w:eastAsia="仿宋_GB2312" w:cs="仿宋_GB2312"/>
          <w:bCs/>
          <w:kern w:val="0"/>
          <w:sz w:val="32"/>
          <w:szCs w:val="32"/>
        </w:rPr>
        <w:t>（二）决算单位构成。</w:t>
      </w:r>
      <w:r>
        <w:rPr>
          <w:rFonts w:hint="eastAsia" w:ascii="仿宋_GB2312" w:hAnsi="仿宋_GB2312" w:eastAsia="仿宋_GB2312" w:cs="仿宋_GB2312"/>
          <w:sz w:val="28"/>
          <w:szCs w:val="28"/>
          <w:lang w:val="zh-CN"/>
        </w:rPr>
        <w:t>岳阳市审计局</w:t>
      </w:r>
      <w:r>
        <w:rPr>
          <w:rFonts w:hint="eastAsia" w:ascii="仿宋_GB2312" w:hAnsi="仿宋_GB2312" w:eastAsia="仿宋_GB2312" w:cs="仿宋_GB2312"/>
          <w:sz w:val="28"/>
          <w:szCs w:val="28"/>
          <w:lang w:val="en-US" w:eastAsia="zh-CN"/>
        </w:rPr>
        <w:t>无独立核算的下属单位，</w:t>
      </w:r>
      <w:r>
        <w:rPr>
          <w:rFonts w:hint="eastAsia" w:ascii="仿宋_GB2312" w:hAnsi="仿宋_GB2312" w:eastAsia="仿宋_GB2312" w:cs="仿宋_GB2312"/>
          <w:sz w:val="28"/>
          <w:szCs w:val="28"/>
          <w:lang w:val="zh-CN"/>
        </w:rPr>
        <w:t>202</w:t>
      </w:r>
      <w:r>
        <w:rPr>
          <w:rFonts w:hint="eastAsia" w:ascii="仿宋_GB2312" w:hAnsi="仿宋_GB2312" w:eastAsia="仿宋_GB2312" w:cs="仿宋_GB2312"/>
          <w:sz w:val="28"/>
          <w:szCs w:val="28"/>
          <w:lang w:val="en-US" w:eastAsia="zh-CN"/>
        </w:rPr>
        <w:t>4</w:t>
      </w:r>
      <w:r>
        <w:rPr>
          <w:rFonts w:hint="eastAsia" w:ascii="仿宋_GB2312" w:hAnsi="仿宋_GB2312" w:eastAsia="仿宋_GB2312" w:cs="仿宋_GB2312"/>
          <w:sz w:val="28"/>
          <w:szCs w:val="28"/>
          <w:lang w:val="zh-CN"/>
        </w:rPr>
        <w:t>年部门决算汇总公开单位仅包括</w:t>
      </w:r>
      <w:r>
        <w:rPr>
          <w:rFonts w:hint="eastAsia" w:ascii="仿宋_GB2312" w:hAnsi="仿宋_GB2312" w:eastAsia="仿宋_GB2312" w:cs="仿宋_GB2312"/>
          <w:sz w:val="28"/>
          <w:szCs w:val="28"/>
          <w:lang w:val="en-US"/>
        </w:rPr>
        <w:t>局机关本级</w:t>
      </w:r>
      <w:r>
        <w:rPr>
          <w:rFonts w:hint="eastAsia" w:ascii="仿宋_GB2312" w:hAnsi="仿宋_GB2312" w:eastAsia="仿宋_GB2312" w:cs="仿宋_GB2312"/>
          <w:sz w:val="28"/>
          <w:szCs w:val="28"/>
          <w:lang w:val="en-US" w:eastAsia="zh-CN"/>
        </w:rPr>
        <w:t>。</w:t>
      </w:r>
    </w:p>
    <w:p w14:paraId="01A1340C"/>
    <w:p w14:paraId="3CE56614">
      <w:pPr>
        <w:pStyle w:val="7"/>
      </w:pPr>
    </w:p>
    <w:p w14:paraId="70B4D569">
      <w:pPr>
        <w:pStyle w:val="3"/>
      </w:pPr>
    </w:p>
    <w:p w14:paraId="5B1D6CBC"/>
    <w:p w14:paraId="7D6C31E4">
      <w:pPr>
        <w:pStyle w:val="7"/>
      </w:pPr>
    </w:p>
    <w:p w14:paraId="056E4ECA">
      <w:pPr>
        <w:pStyle w:val="3"/>
      </w:pPr>
    </w:p>
    <w:p w14:paraId="3288C9C5"/>
    <w:p w14:paraId="14507043">
      <w:pPr>
        <w:pStyle w:val="7"/>
      </w:pPr>
    </w:p>
    <w:p w14:paraId="465EA8BD">
      <w:pPr>
        <w:pStyle w:val="3"/>
      </w:pPr>
    </w:p>
    <w:p w14:paraId="49E51758"/>
    <w:p w14:paraId="3DC8C6CD">
      <w:pPr>
        <w:pStyle w:val="7"/>
      </w:pPr>
    </w:p>
    <w:p w14:paraId="36E702E5">
      <w:pPr>
        <w:pStyle w:val="3"/>
      </w:pPr>
    </w:p>
    <w:p w14:paraId="0416550A"/>
    <w:p w14:paraId="28B49BCE">
      <w:pPr>
        <w:pStyle w:val="7"/>
      </w:pPr>
    </w:p>
    <w:p w14:paraId="43291855">
      <w:pPr>
        <w:pStyle w:val="3"/>
      </w:pPr>
    </w:p>
    <w:p w14:paraId="7CD92489"/>
    <w:p w14:paraId="5267F12B">
      <w:pPr>
        <w:pStyle w:val="7"/>
      </w:pPr>
    </w:p>
    <w:p w14:paraId="28828498">
      <w:pPr>
        <w:pStyle w:val="3"/>
      </w:pPr>
    </w:p>
    <w:p w14:paraId="04E62672"/>
    <w:p w14:paraId="1D6D7A8B">
      <w:pPr>
        <w:pStyle w:val="7"/>
      </w:pPr>
    </w:p>
    <w:p w14:paraId="2E47952B">
      <w:pPr>
        <w:pStyle w:val="3"/>
      </w:pPr>
    </w:p>
    <w:p w14:paraId="18A19BE5"/>
    <w:p w14:paraId="7CCBF86D">
      <w:pPr>
        <w:pStyle w:val="7"/>
      </w:pPr>
    </w:p>
    <w:p w14:paraId="0017F5EC">
      <w:pPr>
        <w:pStyle w:val="3"/>
      </w:pPr>
    </w:p>
    <w:p w14:paraId="76181D4E"/>
    <w:p w14:paraId="1A174866">
      <w:pPr>
        <w:pStyle w:val="12"/>
        <w:jc w:val="center"/>
        <w:rPr>
          <w:rFonts w:hint="eastAsia" w:ascii="方正小标宋_GBK" w:hAnsi="方正小标宋_GBK" w:eastAsia="方正小标宋_GBK" w:cs="方正小标宋_GBK"/>
          <w:sz w:val="84"/>
          <w:szCs w:val="84"/>
        </w:rPr>
      </w:pPr>
    </w:p>
    <w:p w14:paraId="2B49F2B7">
      <w:pPr>
        <w:pStyle w:val="12"/>
        <w:jc w:val="center"/>
        <w:rPr>
          <w:rFonts w:hint="eastAsia" w:ascii="方正小标宋_GBK" w:hAnsi="方正小标宋_GBK" w:eastAsia="方正小标宋_GBK" w:cs="方正小标宋_GBK"/>
          <w:sz w:val="84"/>
          <w:szCs w:val="84"/>
        </w:rPr>
      </w:pPr>
    </w:p>
    <w:p w14:paraId="661BBFC8">
      <w:pPr>
        <w:pStyle w:val="12"/>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第二部分</w:t>
      </w:r>
    </w:p>
    <w:p w14:paraId="5FB02ED5">
      <w:pPr>
        <w:pStyle w:val="12"/>
        <w:jc w:val="center"/>
        <w:rPr>
          <w:rFonts w:hint="eastAsia" w:ascii="方正小标宋_GBK" w:hAnsi="方正小标宋_GBK" w:eastAsia="方正小标宋_GBK" w:cs="方正小标宋_GBK"/>
          <w:sz w:val="84"/>
          <w:szCs w:val="84"/>
        </w:rPr>
      </w:pPr>
    </w:p>
    <w:p w14:paraId="3860F185">
      <w:pPr>
        <w:pStyle w:val="12"/>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部门决算表</w:t>
      </w:r>
    </w:p>
    <w:p w14:paraId="50A5962C">
      <w:pPr>
        <w:pStyle w:val="12"/>
        <w:jc w:val="center"/>
        <w:rPr>
          <w:rFonts w:hint="eastAsia" w:ascii="仿宋_GB2312" w:hAnsi="仿宋_GB2312" w:eastAsia="仿宋_GB2312" w:cs="仿宋_GB2312"/>
          <w:b w:val="0"/>
          <w:bCs w:val="0"/>
          <w:sz w:val="72"/>
          <w:szCs w:val="72"/>
          <w:lang w:eastAsia="zh-CN"/>
        </w:rPr>
      </w:pPr>
      <w:r>
        <w:rPr>
          <w:rFonts w:hint="eastAsia" w:ascii="仿宋_GB2312" w:hAnsi="仿宋_GB2312" w:eastAsia="仿宋_GB2312" w:cs="仿宋_GB2312"/>
          <w:b w:val="0"/>
          <w:bCs w:val="0"/>
          <w:sz w:val="72"/>
          <w:szCs w:val="72"/>
          <w:lang w:eastAsia="zh-CN"/>
        </w:rPr>
        <w:t>（见附件）</w:t>
      </w:r>
    </w:p>
    <w:p w14:paraId="325AF5B5">
      <w:pPr>
        <w:pStyle w:val="12"/>
        <w:jc w:val="center"/>
        <w:rPr>
          <w:rFonts w:hint="eastAsia" w:ascii="仿宋_GB2312" w:hAnsi="仿宋_GB2312" w:eastAsia="仿宋_GB2312" w:cs="仿宋_GB2312"/>
          <w:b w:val="0"/>
          <w:bCs w:val="0"/>
          <w:sz w:val="72"/>
          <w:szCs w:val="72"/>
          <w:lang w:eastAsia="zh-CN"/>
        </w:rPr>
      </w:pPr>
    </w:p>
    <w:p w14:paraId="0568D1B8">
      <w:pPr>
        <w:pStyle w:val="12"/>
        <w:jc w:val="center"/>
        <w:rPr>
          <w:rFonts w:hint="eastAsia" w:ascii="仿宋_GB2312" w:hAnsi="仿宋_GB2312" w:eastAsia="仿宋_GB2312" w:cs="仿宋_GB2312"/>
          <w:b w:val="0"/>
          <w:bCs w:val="0"/>
          <w:sz w:val="72"/>
          <w:szCs w:val="72"/>
          <w:lang w:eastAsia="zh-CN"/>
        </w:rPr>
      </w:pPr>
    </w:p>
    <w:p w14:paraId="5C65B646">
      <w:pPr>
        <w:pStyle w:val="12"/>
        <w:jc w:val="center"/>
        <w:rPr>
          <w:rFonts w:hint="eastAsia" w:ascii="仿宋_GB2312" w:hAnsi="仿宋_GB2312" w:eastAsia="仿宋_GB2312" w:cs="仿宋_GB2312"/>
          <w:b w:val="0"/>
          <w:bCs w:val="0"/>
          <w:sz w:val="72"/>
          <w:szCs w:val="72"/>
          <w:lang w:eastAsia="zh-CN"/>
        </w:rPr>
      </w:pPr>
    </w:p>
    <w:p w14:paraId="62EA5E89">
      <w:pPr>
        <w:pStyle w:val="12"/>
        <w:jc w:val="center"/>
        <w:rPr>
          <w:rFonts w:hint="eastAsia" w:ascii="仿宋_GB2312" w:hAnsi="仿宋_GB2312" w:eastAsia="仿宋_GB2312" w:cs="仿宋_GB2312"/>
          <w:b w:val="0"/>
          <w:bCs w:val="0"/>
          <w:sz w:val="72"/>
          <w:szCs w:val="72"/>
          <w:lang w:eastAsia="zh-CN"/>
        </w:rPr>
      </w:pPr>
    </w:p>
    <w:p w14:paraId="63BFFD84">
      <w:pPr>
        <w:pStyle w:val="12"/>
        <w:jc w:val="center"/>
        <w:rPr>
          <w:rFonts w:hint="eastAsia" w:ascii="仿宋_GB2312" w:hAnsi="仿宋_GB2312" w:eastAsia="仿宋_GB2312" w:cs="仿宋_GB2312"/>
          <w:b w:val="0"/>
          <w:bCs w:val="0"/>
          <w:sz w:val="72"/>
          <w:szCs w:val="72"/>
          <w:lang w:eastAsia="zh-CN"/>
        </w:rPr>
      </w:pPr>
    </w:p>
    <w:p w14:paraId="4565BABE">
      <w:pPr>
        <w:pStyle w:val="12"/>
        <w:jc w:val="center"/>
        <w:rPr>
          <w:rFonts w:hint="eastAsia" w:ascii="仿宋_GB2312" w:hAnsi="仿宋_GB2312" w:eastAsia="仿宋_GB2312" w:cs="仿宋_GB2312"/>
          <w:b w:val="0"/>
          <w:bCs w:val="0"/>
          <w:sz w:val="72"/>
          <w:szCs w:val="72"/>
          <w:lang w:eastAsia="zh-CN"/>
        </w:rPr>
      </w:pPr>
    </w:p>
    <w:p w14:paraId="6EEAB3EF">
      <w:pPr>
        <w:pStyle w:val="12"/>
        <w:jc w:val="center"/>
        <w:rPr>
          <w:rFonts w:hint="eastAsia" w:ascii="仿宋_GB2312" w:hAnsi="仿宋_GB2312" w:eastAsia="仿宋_GB2312" w:cs="仿宋_GB2312"/>
          <w:b w:val="0"/>
          <w:bCs w:val="0"/>
          <w:sz w:val="72"/>
          <w:szCs w:val="72"/>
          <w:lang w:eastAsia="zh-CN"/>
        </w:rPr>
      </w:pPr>
    </w:p>
    <w:p w14:paraId="603C04A7">
      <w:pPr>
        <w:pStyle w:val="12"/>
        <w:jc w:val="center"/>
        <w:rPr>
          <w:rFonts w:hint="eastAsia" w:ascii="方正小标宋_GBK" w:hAnsi="方正小标宋_GBK" w:eastAsia="方正小标宋_GBK" w:cs="方正小标宋_GBK"/>
          <w:sz w:val="72"/>
          <w:szCs w:val="72"/>
        </w:rPr>
      </w:pPr>
    </w:p>
    <w:p w14:paraId="7A44A82E">
      <w:pPr>
        <w:pStyle w:val="12"/>
        <w:jc w:val="center"/>
        <w:rPr>
          <w:rFonts w:hint="eastAsia" w:ascii="方正小标宋_GBK" w:hAnsi="方正小标宋_GBK" w:eastAsia="方正小标宋_GBK" w:cs="方正小标宋_GBK"/>
          <w:sz w:val="72"/>
          <w:szCs w:val="72"/>
        </w:rPr>
      </w:pPr>
    </w:p>
    <w:p w14:paraId="06211665">
      <w:pPr>
        <w:pStyle w:val="12"/>
        <w:jc w:val="both"/>
        <w:rPr>
          <w:rFonts w:hint="eastAsia" w:ascii="方正小标宋_GBK" w:hAnsi="方正小标宋_GBK" w:eastAsia="方正小标宋_GBK" w:cs="方正小标宋_GBK"/>
          <w:sz w:val="72"/>
          <w:szCs w:val="72"/>
        </w:rPr>
      </w:pPr>
    </w:p>
    <w:p w14:paraId="7804FBAA">
      <w:pPr>
        <w:pStyle w:val="12"/>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第三部分</w:t>
      </w:r>
    </w:p>
    <w:p w14:paraId="7D53C949">
      <w:pPr>
        <w:pStyle w:val="12"/>
        <w:jc w:val="center"/>
        <w:rPr>
          <w:rFonts w:hint="eastAsia" w:ascii="方正小标宋_GBK" w:hAnsi="方正小标宋_GBK" w:eastAsia="方正小标宋_GBK" w:cs="方正小标宋_GBK"/>
          <w:sz w:val="70"/>
          <w:szCs w:val="70"/>
        </w:rPr>
      </w:pPr>
    </w:p>
    <w:p w14:paraId="4F77A5A6">
      <w:pPr>
        <w:pStyle w:val="12"/>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0"/>
          <w:szCs w:val="70"/>
        </w:rPr>
        <w:t>202</w:t>
      </w:r>
      <w:r>
        <w:rPr>
          <w:rFonts w:hint="eastAsia" w:ascii="方正小标宋_GBK" w:hAnsi="方正小标宋_GBK" w:eastAsia="方正小标宋_GBK" w:cs="方正小标宋_GBK"/>
          <w:sz w:val="70"/>
          <w:szCs w:val="70"/>
          <w:lang w:val="en-US" w:eastAsia="zh-CN"/>
        </w:rPr>
        <w:t>4</w:t>
      </w:r>
      <w:r>
        <w:rPr>
          <w:rFonts w:hint="eastAsia" w:ascii="方正小标宋_GBK" w:hAnsi="方正小标宋_GBK" w:eastAsia="方正小标宋_GBK" w:cs="方正小标宋_GBK"/>
          <w:sz w:val="70"/>
          <w:szCs w:val="70"/>
        </w:rPr>
        <w:t>年度部门决算情况说明</w:t>
      </w:r>
    </w:p>
    <w:p w14:paraId="17862F93">
      <w:pPr>
        <w:pStyle w:val="12"/>
        <w:jc w:val="center"/>
        <w:rPr>
          <w:rFonts w:hint="eastAsia" w:ascii="方正小标宋_GBK" w:hAnsi="方正小标宋_GBK" w:eastAsia="方正小标宋_GBK" w:cs="方正小标宋_GBK"/>
          <w:sz w:val="70"/>
          <w:szCs w:val="70"/>
        </w:rPr>
      </w:pPr>
    </w:p>
    <w:p w14:paraId="514C0722">
      <w:pPr>
        <w:pStyle w:val="12"/>
        <w:jc w:val="both"/>
        <w:rPr>
          <w:rFonts w:hint="eastAsia" w:ascii="方正小标宋_GBK" w:hAnsi="方正小标宋_GBK" w:eastAsia="方正小标宋_GBK" w:cs="方正小标宋_GBK"/>
          <w:sz w:val="70"/>
          <w:szCs w:val="70"/>
        </w:rPr>
      </w:pPr>
    </w:p>
    <w:p w14:paraId="111D7AB8">
      <w:pPr>
        <w:widowControl/>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说明：</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由于</w:t>
      </w:r>
      <w:r>
        <w:rPr>
          <w:rFonts w:hint="eastAsia" w:ascii="仿宋_GB2312" w:hAnsi="仿宋_GB2312" w:eastAsia="仿宋_GB2312" w:cs="仿宋_GB2312"/>
          <w:sz w:val="32"/>
          <w:szCs w:val="32"/>
          <w:lang w:eastAsia="zh-CN"/>
        </w:rPr>
        <w:t>部门</w:t>
      </w:r>
      <w:r>
        <w:rPr>
          <w:rFonts w:hint="eastAsia" w:ascii="仿宋_GB2312" w:hAnsi="仿宋_GB2312" w:eastAsia="仿宋_GB2312" w:cs="仿宋_GB2312"/>
          <w:sz w:val="32"/>
          <w:szCs w:val="32"/>
        </w:rPr>
        <w:t>决算编制时</w:t>
      </w:r>
      <w:r>
        <w:rPr>
          <w:rFonts w:hint="eastAsia" w:ascii="仿宋_GB2312" w:hAnsi="仿宋_GB2312" w:eastAsia="仿宋_GB2312" w:cs="仿宋_GB2312"/>
          <w:sz w:val="32"/>
          <w:szCs w:val="32"/>
          <w:lang w:eastAsia="zh-CN"/>
        </w:rPr>
        <w:t>数据</w:t>
      </w:r>
      <w:r>
        <w:rPr>
          <w:rFonts w:hint="eastAsia" w:ascii="仿宋_GB2312" w:hAnsi="仿宋_GB2312" w:eastAsia="仿宋_GB2312" w:cs="仿宋_GB2312"/>
          <w:sz w:val="32"/>
          <w:szCs w:val="32"/>
        </w:rPr>
        <w:t>明细</w:t>
      </w:r>
      <w:r>
        <w:rPr>
          <w:rFonts w:hint="eastAsia" w:ascii="仿宋_GB2312" w:hAnsi="仿宋_GB2312" w:eastAsia="仿宋_GB2312" w:cs="仿宋_GB2312"/>
          <w:sz w:val="32"/>
          <w:szCs w:val="32"/>
          <w:lang w:eastAsia="zh-CN"/>
        </w:rPr>
        <w:t>至“金额单位：元</w:t>
      </w:r>
      <w:r>
        <w:rPr>
          <w:rFonts w:hint="eastAsia" w:ascii="仿宋_GB2312" w:hAnsi="仿宋_GB2312" w:eastAsia="仿宋_GB2312" w:cs="仿宋_GB2312"/>
          <w:sz w:val="32"/>
          <w:szCs w:val="32"/>
        </w:rPr>
        <w:t>”，而</w:t>
      </w:r>
      <w:r>
        <w:rPr>
          <w:rFonts w:hint="eastAsia" w:ascii="仿宋_GB2312" w:hAnsi="仿宋_GB2312" w:eastAsia="仿宋_GB2312" w:cs="仿宋_GB2312"/>
          <w:sz w:val="32"/>
          <w:szCs w:val="32"/>
          <w:lang w:eastAsia="zh-CN"/>
        </w:rPr>
        <w:t>本套部门决算文字说明</w:t>
      </w:r>
      <w:r>
        <w:rPr>
          <w:rFonts w:hint="eastAsia" w:ascii="仿宋_GB2312" w:hAnsi="仿宋_GB2312" w:eastAsia="仿宋_GB2312" w:cs="仿宋_GB2312"/>
          <w:sz w:val="32"/>
          <w:szCs w:val="32"/>
        </w:rPr>
        <w:t>和公开表格</w:t>
      </w:r>
      <w:r>
        <w:rPr>
          <w:rFonts w:hint="eastAsia" w:ascii="仿宋_GB2312" w:hAnsi="仿宋_GB2312" w:eastAsia="仿宋_GB2312" w:cs="仿宋_GB2312"/>
          <w:sz w:val="32"/>
          <w:szCs w:val="32"/>
          <w:lang w:eastAsia="zh-CN"/>
        </w:rPr>
        <w:t>数据</w:t>
      </w:r>
      <w:r>
        <w:rPr>
          <w:rFonts w:hint="eastAsia" w:ascii="仿宋_GB2312" w:hAnsi="仿宋_GB2312" w:eastAsia="仿宋_GB2312" w:cs="仿宋_GB2312"/>
          <w:sz w:val="32"/>
          <w:szCs w:val="32"/>
        </w:rPr>
        <w:t>取数</w:t>
      </w:r>
      <w:r>
        <w:rPr>
          <w:rFonts w:hint="eastAsia" w:ascii="仿宋_GB2312" w:hAnsi="仿宋_GB2312" w:eastAsia="仿宋_GB2312" w:cs="仿宋_GB2312"/>
          <w:sz w:val="32"/>
          <w:szCs w:val="32"/>
          <w:lang w:eastAsia="zh-CN"/>
        </w:rPr>
        <w:t>转换为</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金额单位：</w:t>
      </w:r>
      <w:r>
        <w:rPr>
          <w:rFonts w:hint="eastAsia" w:ascii="仿宋_GB2312" w:hAnsi="仿宋_GB2312" w:eastAsia="仿宋_GB2312" w:cs="仿宋_GB2312"/>
          <w:sz w:val="32"/>
          <w:szCs w:val="32"/>
        </w:rPr>
        <w:t>万元”，可能导致</w:t>
      </w:r>
      <w:r>
        <w:rPr>
          <w:rFonts w:hint="eastAsia" w:ascii="仿宋_GB2312" w:hAnsi="仿宋_GB2312" w:eastAsia="仿宋_GB2312" w:cs="仿宋_GB2312"/>
          <w:sz w:val="32"/>
          <w:szCs w:val="32"/>
          <w:lang w:eastAsia="zh-CN"/>
        </w:rPr>
        <w:t>以下文字说明中的各项数据取数以及公开</w:t>
      </w:r>
      <w:r>
        <w:rPr>
          <w:rFonts w:hint="eastAsia" w:ascii="仿宋_GB2312" w:hAnsi="仿宋_GB2312" w:eastAsia="仿宋_GB2312" w:cs="仿宋_GB2312"/>
          <w:sz w:val="32"/>
          <w:szCs w:val="32"/>
        </w:rPr>
        <w:t>表格</w:t>
      </w:r>
      <w:r>
        <w:rPr>
          <w:rFonts w:hint="eastAsia" w:ascii="仿宋_GB2312" w:hAnsi="仿宋_GB2312" w:eastAsia="仿宋_GB2312" w:cs="仿宋_GB2312"/>
          <w:sz w:val="32"/>
          <w:szCs w:val="32"/>
          <w:lang w:eastAsia="zh-CN"/>
        </w:rPr>
        <w:t>中的各项数据取数之间存在</w:t>
      </w:r>
      <w:r>
        <w:rPr>
          <w:rFonts w:hint="eastAsia" w:ascii="仿宋_GB2312" w:hAnsi="仿宋_GB2312" w:eastAsia="仿宋_GB2312" w:cs="仿宋_GB2312"/>
          <w:sz w:val="32"/>
          <w:szCs w:val="32"/>
        </w:rPr>
        <w:t>0.01的尾数差异。</w:t>
      </w:r>
      <w:r>
        <w:rPr>
          <w:rFonts w:hint="eastAsia" w:ascii="仿宋_GB2312" w:hAnsi="仿宋_GB2312" w:eastAsia="仿宋_GB2312" w:cs="仿宋_GB2312"/>
          <w:sz w:val="32"/>
          <w:szCs w:val="32"/>
          <w:lang w:val="en-US" w:eastAsia="zh-CN"/>
        </w:rPr>
        <w:t>2、以下文字说明中，部分科目由于预算数为0，无法计算完成年初预算的百分比，故未描述“</w:t>
      </w:r>
      <w:r>
        <w:rPr>
          <w:rFonts w:hint="eastAsia" w:ascii="仿宋_GB2312" w:hAnsi="仿宋_GB2312" w:eastAsia="仿宋_GB2312" w:cs="仿宋_GB2312"/>
          <w:sz w:val="32"/>
          <w:szCs w:val="32"/>
        </w:rPr>
        <w:t>完成年初预算的XX%</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w:t>
      </w:r>
    </w:p>
    <w:p w14:paraId="2411C081">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一、收入支出决算总体情况说明</w:t>
      </w:r>
    </w:p>
    <w:p w14:paraId="5CDCBAD6">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年度收、支总计</w:t>
      </w:r>
      <w:r>
        <w:rPr>
          <w:rFonts w:hint="eastAsia" w:ascii="仿宋_GB2312" w:hAnsi="仿宋_GB2312" w:eastAsia="仿宋_GB2312" w:cs="仿宋_GB2312"/>
          <w:sz w:val="32"/>
          <w:szCs w:val="32"/>
          <w:lang w:val="en-US" w:eastAsia="zh-CN"/>
        </w:rPr>
        <w:t>3301.75</w:t>
      </w:r>
      <w:r>
        <w:rPr>
          <w:rFonts w:hint="eastAsia" w:ascii="仿宋_GB2312" w:hAnsi="仿宋_GB2312" w:eastAsia="仿宋_GB2312" w:cs="仿宋_GB2312"/>
          <w:sz w:val="32"/>
          <w:szCs w:val="32"/>
        </w:rPr>
        <w:t>万元。与上年相比，增加</w:t>
      </w:r>
      <w:r>
        <w:rPr>
          <w:rFonts w:hint="eastAsia" w:ascii="仿宋_GB2312" w:hAnsi="仿宋_GB2312" w:eastAsia="仿宋_GB2312" w:cs="仿宋_GB2312"/>
          <w:sz w:val="32"/>
          <w:szCs w:val="32"/>
          <w:lang w:val="en-US" w:eastAsia="zh-CN"/>
        </w:rPr>
        <w:t>729.15</w:t>
      </w:r>
      <w:r>
        <w:rPr>
          <w:rFonts w:hint="eastAsia" w:ascii="仿宋_GB2312" w:hAnsi="仿宋_GB2312" w:eastAsia="仿宋_GB2312" w:cs="仿宋_GB2312"/>
          <w:sz w:val="32"/>
          <w:szCs w:val="32"/>
        </w:rPr>
        <w:t>万元，增长</w:t>
      </w:r>
      <w:r>
        <w:rPr>
          <w:rFonts w:hint="eastAsia" w:ascii="仿宋_GB2312" w:hAnsi="仿宋_GB2312" w:eastAsia="仿宋_GB2312" w:cs="仿宋_GB2312"/>
          <w:sz w:val="32"/>
          <w:szCs w:val="32"/>
          <w:lang w:val="en-US" w:eastAsia="zh-CN"/>
        </w:rPr>
        <w:t>28.34</w:t>
      </w:r>
      <w:r>
        <w:rPr>
          <w:rFonts w:hint="eastAsia" w:ascii="仿宋_GB2312" w:hAnsi="仿宋_GB2312" w:eastAsia="仿宋_GB2312" w:cs="仿宋_GB2312"/>
          <w:sz w:val="32"/>
          <w:szCs w:val="32"/>
        </w:rPr>
        <w:t>%，主要是因为</w:t>
      </w:r>
      <w:r>
        <w:rPr>
          <w:rFonts w:hint="eastAsia" w:ascii="仿宋_GB2312" w:hAnsi="仿宋_GB2312" w:eastAsia="仿宋_GB2312" w:cs="仿宋_GB2312"/>
          <w:sz w:val="32"/>
          <w:szCs w:val="32"/>
          <w:lang w:val="en-US" w:eastAsia="zh-CN"/>
        </w:rPr>
        <w:t>2023年底财政系统关账较早，部分费用在2024年支付，同时新增</w:t>
      </w:r>
      <w:r>
        <w:rPr>
          <w:rFonts w:hint="eastAsia" w:ascii="仿宋_GB2312" w:hAnsi="仿宋_GB2312" w:eastAsia="仿宋_GB2312" w:cs="仿宋_GB2312"/>
          <w:sz w:val="32"/>
          <w:szCs w:val="32"/>
          <w:lang w:eastAsia="zh-CN"/>
        </w:rPr>
        <w:t>老旧小区改造建设</w:t>
      </w:r>
      <w:r>
        <w:rPr>
          <w:rFonts w:hint="eastAsia" w:ascii="仿宋_GB2312" w:hAnsi="仿宋_GB2312" w:eastAsia="仿宋_GB2312" w:cs="仿宋_GB2312"/>
          <w:sz w:val="32"/>
          <w:szCs w:val="32"/>
          <w:lang w:val="en-US" w:eastAsia="zh-CN"/>
        </w:rPr>
        <w:t>412万，临聘人员经济补偿40万</w:t>
      </w:r>
      <w:r>
        <w:rPr>
          <w:rFonts w:hint="eastAsia" w:ascii="仿宋_GB2312" w:hAnsi="仿宋_GB2312" w:eastAsia="仿宋_GB2312" w:cs="仿宋_GB2312"/>
          <w:sz w:val="32"/>
          <w:szCs w:val="32"/>
          <w:lang w:eastAsia="zh-CN"/>
        </w:rPr>
        <w:t>。</w:t>
      </w:r>
    </w:p>
    <w:p w14:paraId="07DA9E3F">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二、收入决算情况说明</w:t>
      </w:r>
    </w:p>
    <w:p w14:paraId="2A53B2AD">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年度收入合计</w:t>
      </w:r>
      <w:r>
        <w:rPr>
          <w:rFonts w:hint="eastAsia" w:ascii="仿宋_GB2312" w:hAnsi="仿宋_GB2312" w:eastAsia="仿宋_GB2312" w:cs="仿宋_GB2312"/>
          <w:sz w:val="32"/>
          <w:szCs w:val="32"/>
          <w:lang w:val="en-US" w:eastAsia="zh-CN"/>
        </w:rPr>
        <w:t>3281.30</w:t>
      </w:r>
      <w:r>
        <w:rPr>
          <w:rFonts w:hint="eastAsia" w:ascii="仿宋_GB2312" w:hAnsi="仿宋_GB2312" w:eastAsia="仿宋_GB2312" w:cs="仿宋_GB2312"/>
          <w:sz w:val="32"/>
          <w:szCs w:val="32"/>
        </w:rPr>
        <w:t>万元，其中：财政拨款收入</w:t>
      </w:r>
      <w:r>
        <w:rPr>
          <w:rFonts w:hint="eastAsia" w:ascii="仿宋_GB2312" w:hAnsi="仿宋_GB2312" w:eastAsia="仿宋_GB2312" w:cs="仿宋_GB2312"/>
          <w:sz w:val="32"/>
          <w:szCs w:val="32"/>
          <w:lang w:val="en-US" w:eastAsia="zh-CN"/>
        </w:rPr>
        <w:t>3254.41</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99.18</w:t>
      </w:r>
      <w:r>
        <w:rPr>
          <w:rFonts w:hint="eastAsia" w:ascii="仿宋_GB2312" w:hAnsi="仿宋_GB2312" w:eastAsia="仿宋_GB2312" w:cs="仿宋_GB2312"/>
          <w:sz w:val="32"/>
          <w:szCs w:val="32"/>
        </w:rPr>
        <w:t>%；上级补助收入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%；事业收入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%；经营收入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%；附属单位上缴收入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%；其他收入</w:t>
      </w:r>
      <w:r>
        <w:rPr>
          <w:rFonts w:hint="eastAsia" w:ascii="仿宋_GB2312" w:hAnsi="仿宋_GB2312" w:eastAsia="仿宋_GB2312" w:cs="仿宋_GB2312"/>
          <w:sz w:val="32"/>
          <w:szCs w:val="32"/>
          <w:lang w:val="en-US" w:eastAsia="zh-CN"/>
        </w:rPr>
        <w:t>26.89</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0.82</w:t>
      </w:r>
      <w:r>
        <w:rPr>
          <w:rFonts w:hint="eastAsia" w:ascii="仿宋_GB2312" w:hAnsi="仿宋_GB2312" w:eastAsia="仿宋_GB2312" w:cs="仿宋_GB2312"/>
          <w:sz w:val="32"/>
          <w:szCs w:val="32"/>
        </w:rPr>
        <w:t>%。</w:t>
      </w:r>
    </w:p>
    <w:p w14:paraId="2D1A2B4D">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三、支出决算情况说明</w:t>
      </w:r>
    </w:p>
    <w:p w14:paraId="28222937">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年度支出合计</w:t>
      </w:r>
      <w:r>
        <w:rPr>
          <w:rFonts w:hint="eastAsia" w:ascii="仿宋_GB2312" w:hAnsi="仿宋_GB2312" w:eastAsia="仿宋_GB2312" w:cs="仿宋_GB2312"/>
          <w:sz w:val="32"/>
          <w:szCs w:val="32"/>
          <w:lang w:val="en-US" w:eastAsia="zh-CN"/>
        </w:rPr>
        <w:t>3284.51</w:t>
      </w:r>
      <w:r>
        <w:rPr>
          <w:rFonts w:hint="eastAsia" w:ascii="仿宋_GB2312" w:hAnsi="仿宋_GB2312" w:eastAsia="仿宋_GB2312" w:cs="仿宋_GB2312"/>
          <w:sz w:val="32"/>
          <w:szCs w:val="32"/>
        </w:rPr>
        <w:t>万元，其中：基本支出</w:t>
      </w:r>
      <w:r>
        <w:rPr>
          <w:rFonts w:hint="eastAsia" w:ascii="仿宋_GB2312" w:hAnsi="仿宋_GB2312" w:eastAsia="仿宋_GB2312" w:cs="仿宋_GB2312"/>
          <w:sz w:val="32"/>
          <w:szCs w:val="32"/>
          <w:lang w:val="en-US" w:eastAsia="zh-CN"/>
        </w:rPr>
        <w:t>2062.51</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62.80</w:t>
      </w:r>
      <w:r>
        <w:rPr>
          <w:rFonts w:hint="eastAsia" w:ascii="仿宋_GB2312" w:hAnsi="仿宋_GB2312" w:eastAsia="仿宋_GB2312" w:cs="仿宋_GB2312"/>
          <w:sz w:val="32"/>
          <w:szCs w:val="32"/>
        </w:rPr>
        <w:t>%；项目支出</w:t>
      </w:r>
      <w:r>
        <w:rPr>
          <w:rFonts w:hint="eastAsia" w:ascii="仿宋_GB2312" w:hAnsi="仿宋_GB2312" w:eastAsia="仿宋_GB2312" w:cs="仿宋_GB2312"/>
          <w:sz w:val="32"/>
          <w:szCs w:val="32"/>
          <w:lang w:val="en-US" w:eastAsia="zh-CN"/>
        </w:rPr>
        <w:t>1222</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37.20</w:t>
      </w:r>
      <w:r>
        <w:rPr>
          <w:rFonts w:hint="eastAsia" w:ascii="仿宋_GB2312" w:hAnsi="仿宋_GB2312" w:eastAsia="仿宋_GB2312" w:cs="仿宋_GB2312"/>
          <w:sz w:val="32"/>
          <w:szCs w:val="32"/>
        </w:rPr>
        <w:t>%；上缴上级支出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%；经营支出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%；对附属单位补助支出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w:t>
      </w:r>
    </w:p>
    <w:p w14:paraId="69857526">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四、财政拨款收入支出决算总体情况说明</w:t>
      </w:r>
    </w:p>
    <w:p w14:paraId="4ED35F49">
      <w:pPr>
        <w:pStyle w:val="12"/>
        <w:keepNext w:val="0"/>
        <w:keepLines w:val="0"/>
        <w:pageBreakBefore w:val="0"/>
        <w:widowControl w:val="0"/>
        <w:kinsoku/>
        <w:wordWrap/>
        <w:overflowPunct/>
        <w:topLinePunct w:val="0"/>
        <w:bidi w:val="0"/>
        <w:snapToGrid/>
        <w:spacing w:line="600" w:lineRule="exact"/>
        <w:textAlignment w:val="auto"/>
        <w:rPr>
          <w:rFonts w:hint="default" w:ascii="仿宋_GB2312" w:hAnsi="仿宋_GB2312" w:eastAsia="仿宋_GB2312" w:cs="仿宋_GB2312"/>
          <w:sz w:val="32"/>
          <w:szCs w:val="32"/>
          <w:lang w:val="en-US" w:eastAsia="zh-CN"/>
        </w:rPr>
      </w:pPr>
      <w:r>
        <w:rPr>
          <w:rFonts w:hint="eastAsia" w:ascii="Times New Roman" w:hAnsi="Times New Roman" w:eastAsia="仿宋_GB2312"/>
          <w:sz w:val="32"/>
          <w:szCs w:val="32"/>
        </w:rPr>
        <w:t xml:space="preserve">   </w:t>
      </w:r>
      <w:r>
        <w:rPr>
          <w:rFonts w:hint="eastAsia" w:ascii="仿宋_GB2312" w:hAnsi="仿宋_GB2312" w:eastAsia="仿宋_GB2312" w:cs="仿宋_GB2312"/>
          <w:sz w:val="32"/>
          <w:szCs w:val="32"/>
        </w:rPr>
        <w:t xml:space="preserve"> 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年度财政拨款收、支总计</w:t>
      </w:r>
      <w:r>
        <w:rPr>
          <w:rFonts w:hint="eastAsia" w:ascii="仿宋_GB2312" w:hAnsi="仿宋_GB2312" w:eastAsia="仿宋_GB2312" w:cs="仿宋_GB2312"/>
          <w:sz w:val="32"/>
          <w:szCs w:val="32"/>
          <w:lang w:val="en-US" w:eastAsia="zh-CN"/>
        </w:rPr>
        <w:t>3254.41</w:t>
      </w:r>
      <w:r>
        <w:rPr>
          <w:rFonts w:hint="eastAsia" w:ascii="仿宋_GB2312" w:hAnsi="仿宋_GB2312" w:eastAsia="仿宋_GB2312" w:cs="仿宋_GB2312"/>
          <w:sz w:val="32"/>
          <w:szCs w:val="32"/>
        </w:rPr>
        <w:t>万元，与上年相比，增加</w:t>
      </w:r>
      <w:r>
        <w:rPr>
          <w:rFonts w:hint="eastAsia" w:ascii="仿宋_GB2312" w:hAnsi="仿宋_GB2312" w:eastAsia="仿宋_GB2312" w:cs="仿宋_GB2312"/>
          <w:sz w:val="32"/>
          <w:szCs w:val="32"/>
          <w:lang w:val="en-US" w:eastAsia="zh-CN"/>
        </w:rPr>
        <w:t>729.37</w:t>
      </w:r>
      <w:r>
        <w:rPr>
          <w:rFonts w:hint="eastAsia" w:ascii="仿宋_GB2312" w:hAnsi="仿宋_GB2312" w:eastAsia="仿宋_GB2312" w:cs="仿宋_GB2312"/>
          <w:sz w:val="32"/>
          <w:szCs w:val="32"/>
        </w:rPr>
        <w:t>万元,增长</w:t>
      </w:r>
      <w:r>
        <w:rPr>
          <w:rFonts w:hint="eastAsia" w:ascii="仿宋_GB2312" w:hAnsi="仿宋_GB2312" w:eastAsia="仿宋_GB2312" w:cs="仿宋_GB2312"/>
          <w:sz w:val="32"/>
          <w:szCs w:val="32"/>
          <w:lang w:val="en-US" w:eastAsia="zh-CN"/>
        </w:rPr>
        <w:t>28.89</w:t>
      </w:r>
      <w:r>
        <w:rPr>
          <w:rFonts w:hint="eastAsia" w:ascii="仿宋_GB2312" w:hAnsi="仿宋_GB2312" w:eastAsia="仿宋_GB2312" w:cs="仿宋_GB2312"/>
          <w:sz w:val="32"/>
          <w:szCs w:val="32"/>
        </w:rPr>
        <w:t>%，主要是因为</w:t>
      </w:r>
      <w:r>
        <w:rPr>
          <w:rFonts w:hint="eastAsia" w:ascii="仿宋_GB2312" w:hAnsi="仿宋_GB2312" w:eastAsia="仿宋_GB2312" w:cs="仿宋_GB2312"/>
          <w:sz w:val="32"/>
          <w:szCs w:val="32"/>
          <w:lang w:val="en-US" w:eastAsia="zh-CN"/>
        </w:rPr>
        <w:t>2023年底财政系统关账较早，部分费用在2024年支付，同时新增</w:t>
      </w:r>
      <w:r>
        <w:rPr>
          <w:rFonts w:hint="eastAsia" w:ascii="仿宋_GB2312" w:hAnsi="仿宋_GB2312" w:eastAsia="仿宋_GB2312" w:cs="仿宋_GB2312"/>
          <w:sz w:val="32"/>
          <w:szCs w:val="32"/>
          <w:lang w:eastAsia="zh-CN"/>
        </w:rPr>
        <w:t>老旧小区改造建设</w:t>
      </w:r>
      <w:r>
        <w:rPr>
          <w:rFonts w:hint="eastAsia" w:ascii="仿宋_GB2312" w:hAnsi="仿宋_GB2312" w:eastAsia="仿宋_GB2312" w:cs="仿宋_GB2312"/>
          <w:sz w:val="32"/>
          <w:szCs w:val="32"/>
          <w:lang w:val="en-US" w:eastAsia="zh-CN"/>
        </w:rPr>
        <w:t>412万，临聘人员经济补偿40万。</w:t>
      </w:r>
    </w:p>
    <w:p w14:paraId="4BB30A62">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五、一般公共预算财政拨款支出决算情况说明</w:t>
      </w:r>
    </w:p>
    <w:p w14:paraId="60232831">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（一）一般公共预算财政拨款支出决算总体情况</w:t>
      </w:r>
    </w:p>
    <w:p w14:paraId="74AAB8BB">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年度财政拨款支出</w:t>
      </w:r>
      <w:r>
        <w:rPr>
          <w:rFonts w:hint="eastAsia" w:ascii="仿宋_GB2312" w:hAnsi="仿宋_GB2312" w:eastAsia="仿宋_GB2312" w:cs="仿宋_GB2312"/>
          <w:sz w:val="32"/>
          <w:szCs w:val="32"/>
          <w:lang w:val="en-US" w:eastAsia="zh-CN"/>
        </w:rPr>
        <w:t>3242.41</w:t>
      </w:r>
      <w:r>
        <w:rPr>
          <w:rFonts w:hint="eastAsia" w:ascii="仿宋_GB2312" w:hAnsi="仿宋_GB2312" w:eastAsia="仿宋_GB2312" w:cs="仿宋_GB2312"/>
          <w:sz w:val="32"/>
          <w:szCs w:val="32"/>
        </w:rPr>
        <w:t>万元，占本年支出合计的</w:t>
      </w:r>
      <w:r>
        <w:rPr>
          <w:rFonts w:hint="eastAsia" w:ascii="仿宋_GB2312" w:hAnsi="仿宋_GB2312" w:eastAsia="仿宋_GB2312" w:cs="仿宋_GB2312"/>
          <w:sz w:val="32"/>
          <w:szCs w:val="32"/>
          <w:lang w:val="en-US" w:eastAsia="zh-CN"/>
        </w:rPr>
        <w:t>98.72</w:t>
      </w:r>
      <w:r>
        <w:rPr>
          <w:rFonts w:hint="eastAsia" w:ascii="仿宋_GB2312" w:hAnsi="仿宋_GB2312" w:eastAsia="仿宋_GB2312" w:cs="仿宋_GB2312"/>
          <w:sz w:val="32"/>
          <w:szCs w:val="32"/>
        </w:rPr>
        <w:t>%，与上年相比，财政拨款支出增加</w:t>
      </w:r>
      <w:r>
        <w:rPr>
          <w:rFonts w:hint="eastAsia" w:ascii="仿宋_GB2312" w:hAnsi="仿宋_GB2312" w:eastAsia="仿宋_GB2312" w:cs="仿宋_GB2312"/>
          <w:sz w:val="32"/>
          <w:szCs w:val="32"/>
          <w:lang w:val="en-US" w:eastAsia="zh-CN"/>
        </w:rPr>
        <w:t>717.37</w:t>
      </w:r>
      <w:r>
        <w:rPr>
          <w:rFonts w:hint="eastAsia" w:ascii="仿宋_GB2312" w:hAnsi="仿宋_GB2312" w:eastAsia="仿宋_GB2312" w:cs="仿宋_GB2312"/>
          <w:sz w:val="32"/>
          <w:szCs w:val="32"/>
        </w:rPr>
        <w:t>万元，增长</w:t>
      </w:r>
      <w:r>
        <w:rPr>
          <w:rFonts w:hint="eastAsia" w:ascii="仿宋_GB2312" w:hAnsi="仿宋_GB2312" w:eastAsia="仿宋_GB2312" w:cs="仿宋_GB2312"/>
          <w:sz w:val="32"/>
          <w:szCs w:val="32"/>
          <w:lang w:val="en-US" w:eastAsia="zh-CN"/>
        </w:rPr>
        <w:t>28.41</w:t>
      </w:r>
      <w:r>
        <w:rPr>
          <w:rFonts w:hint="eastAsia" w:ascii="仿宋_GB2312" w:hAnsi="仿宋_GB2312" w:eastAsia="仿宋_GB2312" w:cs="仿宋_GB2312"/>
          <w:sz w:val="32"/>
          <w:szCs w:val="32"/>
        </w:rPr>
        <w:t>%，主要是因为</w:t>
      </w:r>
      <w:r>
        <w:rPr>
          <w:rFonts w:hint="eastAsia" w:ascii="仿宋_GB2312" w:hAnsi="仿宋_GB2312" w:eastAsia="仿宋_GB2312" w:cs="仿宋_GB2312"/>
          <w:sz w:val="32"/>
          <w:szCs w:val="32"/>
          <w:lang w:val="en-US" w:eastAsia="zh-CN"/>
        </w:rPr>
        <w:t>2023年底财政系统关账较早，部分费用在2024年支付，同时新增</w:t>
      </w:r>
      <w:r>
        <w:rPr>
          <w:rFonts w:hint="eastAsia" w:ascii="仿宋_GB2312" w:hAnsi="仿宋_GB2312" w:eastAsia="仿宋_GB2312" w:cs="仿宋_GB2312"/>
          <w:sz w:val="32"/>
          <w:szCs w:val="32"/>
          <w:lang w:eastAsia="zh-CN"/>
        </w:rPr>
        <w:t>老旧小区改造建设</w:t>
      </w:r>
      <w:r>
        <w:rPr>
          <w:rFonts w:hint="eastAsia" w:ascii="仿宋_GB2312" w:hAnsi="仿宋_GB2312" w:eastAsia="仿宋_GB2312" w:cs="仿宋_GB2312"/>
          <w:sz w:val="32"/>
          <w:szCs w:val="32"/>
          <w:lang w:val="en-US" w:eastAsia="zh-CN"/>
        </w:rPr>
        <w:t>412万，临聘人员经济补偿40万。</w:t>
      </w:r>
    </w:p>
    <w:p w14:paraId="66C54C85">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（二）一般公共预算财政拨款支出决算结构情况</w:t>
      </w:r>
    </w:p>
    <w:p w14:paraId="100B560A">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年度财政拨款支出</w:t>
      </w:r>
      <w:r>
        <w:rPr>
          <w:rFonts w:hint="eastAsia" w:ascii="仿宋_GB2312" w:hAnsi="仿宋_GB2312" w:eastAsia="仿宋_GB2312" w:cs="仿宋_GB2312"/>
          <w:sz w:val="32"/>
          <w:szCs w:val="32"/>
          <w:lang w:val="en-US" w:eastAsia="zh-CN"/>
        </w:rPr>
        <w:t>3242.41</w:t>
      </w:r>
      <w:r>
        <w:rPr>
          <w:rFonts w:hint="eastAsia" w:ascii="仿宋_GB2312" w:hAnsi="仿宋_GB2312" w:eastAsia="仿宋_GB2312" w:cs="仿宋_GB2312"/>
          <w:sz w:val="32"/>
          <w:szCs w:val="32"/>
        </w:rPr>
        <w:t>万元，主要用于以下方面：一般公共服务支出</w:t>
      </w:r>
      <w:r>
        <w:rPr>
          <w:rFonts w:hint="eastAsia" w:ascii="仿宋_GB2312" w:hAnsi="仿宋_GB2312" w:eastAsia="仿宋_GB2312" w:cs="仿宋_GB2312"/>
          <w:sz w:val="32"/>
          <w:szCs w:val="32"/>
          <w:lang w:val="en-US" w:eastAsia="zh-CN"/>
        </w:rPr>
        <w:t>2375.11</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73.25</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科学技术</w:t>
      </w:r>
      <w:r>
        <w:rPr>
          <w:rFonts w:hint="eastAsia" w:ascii="仿宋_GB2312" w:hAnsi="仿宋_GB2312" w:eastAsia="仿宋_GB2312" w:cs="仿宋_GB2312"/>
          <w:sz w:val="32"/>
          <w:szCs w:val="32"/>
        </w:rPr>
        <w:t>支出</w:t>
      </w:r>
      <w:r>
        <w:rPr>
          <w:rFonts w:hint="eastAsia" w:ascii="仿宋_GB2312" w:hAnsi="仿宋_GB2312" w:eastAsia="仿宋_GB2312" w:cs="仿宋_GB2312"/>
          <w:sz w:val="32"/>
          <w:szCs w:val="32"/>
          <w:lang w:val="en-US" w:eastAsia="zh-CN"/>
        </w:rPr>
        <w:t>199.82</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6.16</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社会保障和就业支出</w:t>
      </w:r>
      <w:r>
        <w:rPr>
          <w:rFonts w:hint="eastAsia" w:ascii="仿宋_GB2312" w:hAnsi="仿宋_GB2312" w:eastAsia="仿宋_GB2312" w:cs="仿宋_GB2312"/>
          <w:sz w:val="32"/>
          <w:szCs w:val="32"/>
          <w:lang w:val="en-US" w:eastAsia="zh-CN"/>
        </w:rPr>
        <w:t>149.87万元，占4.62%；住房保障支出517.61万元，占15.96%。</w:t>
      </w:r>
    </w:p>
    <w:p w14:paraId="5CDBADF9">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（三）一般公共预算财政拨款支出决算具体情况</w:t>
      </w:r>
    </w:p>
    <w:p w14:paraId="5B07DAE0">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年度财政拨款支出年初预算数为</w:t>
      </w:r>
      <w:r>
        <w:rPr>
          <w:rFonts w:hint="eastAsia" w:ascii="仿宋_GB2312" w:hAnsi="仿宋_GB2312" w:eastAsia="仿宋_GB2312" w:cs="仿宋_GB2312"/>
          <w:sz w:val="32"/>
          <w:szCs w:val="32"/>
          <w:lang w:val="en-US" w:eastAsia="zh-CN"/>
        </w:rPr>
        <w:t>1942.97</w:t>
      </w:r>
      <w:r>
        <w:rPr>
          <w:rFonts w:hint="eastAsia" w:ascii="仿宋_GB2312" w:hAnsi="仿宋_GB2312" w:eastAsia="仿宋_GB2312" w:cs="仿宋_GB2312"/>
          <w:sz w:val="32"/>
          <w:szCs w:val="32"/>
        </w:rPr>
        <w:t>万元，支出决算数为</w:t>
      </w:r>
      <w:r>
        <w:rPr>
          <w:rFonts w:hint="eastAsia" w:ascii="仿宋_GB2312" w:hAnsi="仿宋_GB2312" w:eastAsia="仿宋_GB2312" w:cs="仿宋_GB2312"/>
          <w:sz w:val="32"/>
          <w:szCs w:val="32"/>
          <w:lang w:val="en-US" w:eastAsia="zh-CN"/>
        </w:rPr>
        <w:t>2405.21</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123.79</w:t>
      </w:r>
      <w:r>
        <w:rPr>
          <w:rFonts w:hint="eastAsia" w:ascii="仿宋_GB2312" w:hAnsi="仿宋_GB2312" w:eastAsia="仿宋_GB2312" w:cs="仿宋_GB2312"/>
          <w:sz w:val="32"/>
          <w:szCs w:val="32"/>
        </w:rPr>
        <w:t>%，其中：</w:t>
      </w:r>
    </w:p>
    <w:p w14:paraId="237A4D60">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1、一般公共服务（类）</w:t>
      </w:r>
      <w:r>
        <w:rPr>
          <w:rFonts w:hint="eastAsia" w:ascii="仿宋_GB2312" w:hAnsi="仿宋_GB2312" w:eastAsia="仿宋_GB2312" w:cs="仿宋_GB2312"/>
          <w:sz w:val="32"/>
          <w:szCs w:val="32"/>
          <w:lang w:eastAsia="zh-CN"/>
        </w:rPr>
        <w:t>人大事务</w:t>
      </w:r>
      <w:r>
        <w:rPr>
          <w:rFonts w:hint="eastAsia" w:ascii="仿宋_GB2312" w:hAnsi="仿宋_GB2312" w:eastAsia="仿宋_GB2312" w:cs="仿宋_GB2312"/>
          <w:sz w:val="32"/>
          <w:szCs w:val="32"/>
        </w:rPr>
        <w:t>（款）</w:t>
      </w:r>
      <w:r>
        <w:rPr>
          <w:rFonts w:hint="eastAsia" w:ascii="仿宋_GB2312" w:hAnsi="仿宋_GB2312" w:eastAsia="仿宋_GB2312" w:cs="仿宋_GB2312"/>
          <w:sz w:val="32"/>
          <w:szCs w:val="32"/>
          <w:lang w:eastAsia="zh-CN"/>
        </w:rPr>
        <w:t>行政运行</w:t>
      </w:r>
      <w:r>
        <w:rPr>
          <w:rFonts w:hint="eastAsia" w:ascii="仿宋_GB2312" w:hAnsi="仿宋_GB2312" w:eastAsia="仿宋_GB2312" w:cs="仿宋_GB2312"/>
          <w:sz w:val="32"/>
          <w:szCs w:val="32"/>
        </w:rPr>
        <w:t>（项）。</w:t>
      </w:r>
    </w:p>
    <w:p w14:paraId="25E7F67C">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1454.97</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1437.59</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98.81</w:t>
      </w:r>
      <w:r>
        <w:rPr>
          <w:rFonts w:hint="eastAsia" w:ascii="仿宋_GB2312" w:hAnsi="仿宋_GB2312" w:eastAsia="仿宋_GB2312" w:cs="仿宋_GB2312"/>
          <w:sz w:val="32"/>
          <w:szCs w:val="32"/>
        </w:rPr>
        <w:t>%，决算数小于年初预算数的主要原因是：</w:t>
      </w:r>
      <w:r>
        <w:rPr>
          <w:rFonts w:hint="eastAsia" w:ascii="仿宋_GB2312" w:hAnsi="仿宋_GB2312" w:eastAsia="仿宋_GB2312" w:cs="仿宋_GB2312"/>
          <w:sz w:val="32"/>
          <w:szCs w:val="32"/>
          <w:lang w:eastAsia="zh-CN"/>
        </w:rPr>
        <w:t>经费控制较好。</w:t>
      </w:r>
    </w:p>
    <w:p w14:paraId="3443D2AF">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2、一般公共服务（类）</w:t>
      </w:r>
      <w:r>
        <w:rPr>
          <w:rFonts w:hint="eastAsia" w:ascii="仿宋_GB2312" w:hAnsi="仿宋_GB2312" w:eastAsia="仿宋_GB2312" w:cs="仿宋_GB2312"/>
          <w:sz w:val="32"/>
          <w:szCs w:val="32"/>
          <w:lang w:eastAsia="zh-CN"/>
        </w:rPr>
        <w:t>审计事务</w:t>
      </w:r>
      <w:r>
        <w:rPr>
          <w:rFonts w:hint="eastAsia" w:ascii="仿宋_GB2312" w:hAnsi="仿宋_GB2312" w:eastAsia="仿宋_GB2312" w:cs="仿宋_GB2312"/>
          <w:sz w:val="32"/>
          <w:szCs w:val="32"/>
        </w:rPr>
        <w:t>（款）</w:t>
      </w:r>
      <w:r>
        <w:rPr>
          <w:rFonts w:hint="eastAsia" w:ascii="仿宋_GB2312" w:hAnsi="仿宋_GB2312" w:eastAsia="仿宋_GB2312" w:cs="仿宋_GB2312"/>
          <w:sz w:val="32"/>
          <w:szCs w:val="32"/>
          <w:lang w:eastAsia="zh-CN"/>
        </w:rPr>
        <w:t>行政运行</w:t>
      </w:r>
      <w:r>
        <w:rPr>
          <w:rFonts w:hint="eastAsia" w:ascii="仿宋_GB2312" w:hAnsi="仿宋_GB2312" w:eastAsia="仿宋_GB2312" w:cs="仿宋_GB2312"/>
          <w:sz w:val="32"/>
          <w:szCs w:val="32"/>
        </w:rPr>
        <w:t>（项）。</w:t>
      </w:r>
    </w:p>
    <w:p w14:paraId="6D40D851">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62.69</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决算数大于年初预算数的主要原因是：</w:t>
      </w:r>
      <w:r>
        <w:rPr>
          <w:rFonts w:hint="eastAsia" w:ascii="仿宋_GB2312" w:hAnsi="仿宋_GB2312" w:eastAsia="仿宋_GB2312" w:cs="仿宋_GB2312"/>
          <w:sz w:val="32"/>
          <w:szCs w:val="32"/>
          <w:lang w:eastAsia="zh-CN"/>
        </w:rPr>
        <w:t>待编预算未纳入年初预算。</w:t>
      </w:r>
    </w:p>
    <w:p w14:paraId="44E4E60A">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、一般公共服务（类）</w:t>
      </w:r>
      <w:r>
        <w:rPr>
          <w:rFonts w:hint="eastAsia" w:ascii="仿宋_GB2312" w:hAnsi="仿宋_GB2312" w:eastAsia="仿宋_GB2312" w:cs="仿宋_GB2312"/>
          <w:sz w:val="32"/>
          <w:szCs w:val="32"/>
          <w:lang w:eastAsia="zh-CN"/>
        </w:rPr>
        <w:t>审计事务</w:t>
      </w:r>
      <w:r>
        <w:rPr>
          <w:rFonts w:hint="eastAsia" w:ascii="仿宋_GB2312" w:hAnsi="仿宋_GB2312" w:eastAsia="仿宋_GB2312" w:cs="仿宋_GB2312"/>
          <w:sz w:val="32"/>
          <w:szCs w:val="32"/>
        </w:rPr>
        <w:t>（款）</w:t>
      </w:r>
      <w:r>
        <w:rPr>
          <w:rFonts w:hint="eastAsia" w:ascii="仿宋_GB2312" w:hAnsi="仿宋_GB2312" w:eastAsia="仿宋_GB2312" w:cs="仿宋_GB2312"/>
          <w:sz w:val="32"/>
          <w:szCs w:val="32"/>
          <w:lang w:eastAsia="zh-CN"/>
        </w:rPr>
        <w:t>一般行政管理事务</w:t>
      </w:r>
      <w:r>
        <w:rPr>
          <w:rFonts w:hint="eastAsia" w:ascii="仿宋_GB2312" w:hAnsi="仿宋_GB2312" w:eastAsia="仿宋_GB2312" w:cs="仿宋_GB2312"/>
          <w:sz w:val="32"/>
          <w:szCs w:val="32"/>
        </w:rPr>
        <w:t>（项）。</w:t>
      </w:r>
    </w:p>
    <w:p w14:paraId="180A449C">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488.00</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600.85</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123.12</w:t>
      </w:r>
      <w:r>
        <w:rPr>
          <w:rFonts w:hint="eastAsia" w:ascii="仿宋_GB2312" w:hAnsi="仿宋_GB2312" w:eastAsia="仿宋_GB2312" w:cs="仿宋_GB2312"/>
          <w:sz w:val="32"/>
          <w:szCs w:val="32"/>
        </w:rPr>
        <w:t>%，决算数大于年初预算数的主要原因是：</w:t>
      </w:r>
      <w:r>
        <w:rPr>
          <w:rFonts w:hint="eastAsia" w:ascii="仿宋_GB2312" w:hAnsi="仿宋_GB2312" w:eastAsia="仿宋_GB2312" w:cs="仿宋_GB2312"/>
          <w:sz w:val="32"/>
          <w:szCs w:val="32"/>
          <w:lang w:eastAsia="zh-CN"/>
        </w:rPr>
        <w:t>年中湖南省审计厅拨审计工作经费。</w:t>
      </w:r>
    </w:p>
    <w:p w14:paraId="72F46429">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、一般公共服务（类）</w:t>
      </w:r>
      <w:r>
        <w:rPr>
          <w:rFonts w:hint="eastAsia" w:ascii="仿宋_GB2312" w:hAnsi="仿宋_GB2312" w:eastAsia="仿宋_GB2312" w:cs="仿宋_GB2312"/>
          <w:sz w:val="32"/>
          <w:szCs w:val="32"/>
          <w:lang w:eastAsia="zh-CN"/>
        </w:rPr>
        <w:t>审计事务</w:t>
      </w:r>
      <w:r>
        <w:rPr>
          <w:rFonts w:hint="eastAsia" w:ascii="仿宋_GB2312" w:hAnsi="仿宋_GB2312" w:eastAsia="仿宋_GB2312" w:cs="仿宋_GB2312"/>
          <w:sz w:val="32"/>
          <w:szCs w:val="32"/>
        </w:rPr>
        <w:t>（款）</w:t>
      </w:r>
      <w:r>
        <w:rPr>
          <w:rFonts w:hint="eastAsia" w:ascii="仿宋_GB2312" w:hAnsi="仿宋_GB2312" w:eastAsia="仿宋_GB2312" w:cs="仿宋_GB2312"/>
          <w:sz w:val="32"/>
          <w:szCs w:val="32"/>
          <w:lang w:eastAsia="zh-CN"/>
        </w:rPr>
        <w:t>审计业务</w:t>
      </w:r>
      <w:r>
        <w:rPr>
          <w:rFonts w:hint="eastAsia" w:ascii="仿宋_GB2312" w:hAnsi="仿宋_GB2312" w:eastAsia="仿宋_GB2312" w:cs="仿宋_GB2312"/>
          <w:sz w:val="32"/>
          <w:szCs w:val="32"/>
        </w:rPr>
        <w:t>（项）。</w:t>
      </w:r>
    </w:p>
    <w:p w14:paraId="755A8C6E">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年初预算为</w:t>
      </w:r>
      <w:bookmarkStart w:id="0" w:name="_GoBack"/>
      <w:bookmarkEnd w:id="0"/>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61.41</w:t>
      </w:r>
      <w:r>
        <w:rPr>
          <w:rFonts w:hint="eastAsia" w:ascii="仿宋_GB2312" w:hAnsi="仿宋_GB2312" w:eastAsia="仿宋_GB2312" w:cs="仿宋_GB2312"/>
          <w:sz w:val="32"/>
          <w:szCs w:val="32"/>
        </w:rPr>
        <w:t>万元，决算数大于年初预算数的主要原因是：</w:t>
      </w:r>
      <w:r>
        <w:rPr>
          <w:rFonts w:hint="eastAsia" w:ascii="仿宋_GB2312" w:hAnsi="仿宋_GB2312" w:eastAsia="仿宋_GB2312" w:cs="仿宋_GB2312"/>
          <w:sz w:val="32"/>
          <w:szCs w:val="32"/>
          <w:lang w:eastAsia="zh-CN"/>
        </w:rPr>
        <w:t>此项目为待编预算，未纳入年初预算。</w:t>
      </w:r>
    </w:p>
    <w:p w14:paraId="4C17D30A">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、一般公共服务（类）</w:t>
      </w:r>
      <w:r>
        <w:rPr>
          <w:rFonts w:hint="eastAsia" w:ascii="仿宋_GB2312" w:hAnsi="仿宋_GB2312" w:eastAsia="仿宋_GB2312" w:cs="仿宋_GB2312"/>
          <w:sz w:val="32"/>
          <w:szCs w:val="32"/>
          <w:lang w:eastAsia="zh-CN"/>
        </w:rPr>
        <w:t>审计事务</w:t>
      </w:r>
      <w:r>
        <w:rPr>
          <w:rFonts w:hint="eastAsia" w:ascii="仿宋_GB2312" w:hAnsi="仿宋_GB2312" w:eastAsia="仿宋_GB2312" w:cs="仿宋_GB2312"/>
          <w:sz w:val="32"/>
          <w:szCs w:val="32"/>
        </w:rPr>
        <w:t>（款）</w:t>
      </w:r>
      <w:r>
        <w:rPr>
          <w:rFonts w:hint="eastAsia" w:ascii="仿宋_GB2312" w:hAnsi="仿宋_GB2312" w:eastAsia="仿宋_GB2312" w:cs="仿宋_GB2312"/>
          <w:sz w:val="32"/>
          <w:szCs w:val="32"/>
          <w:lang w:eastAsia="zh-CN"/>
        </w:rPr>
        <w:t>其他审计事务支出</w:t>
      </w:r>
      <w:r>
        <w:rPr>
          <w:rFonts w:hint="eastAsia" w:ascii="仿宋_GB2312" w:hAnsi="仿宋_GB2312" w:eastAsia="仿宋_GB2312" w:cs="仿宋_GB2312"/>
          <w:sz w:val="32"/>
          <w:szCs w:val="32"/>
        </w:rPr>
        <w:t>（项）。</w:t>
      </w:r>
    </w:p>
    <w:p w14:paraId="5FDE335E">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年初预算0万元，支出决算212.57万元，决算数大于年初预算数的主要原因是：</w:t>
      </w:r>
      <w:r>
        <w:rPr>
          <w:rFonts w:hint="eastAsia" w:ascii="仿宋_GB2312" w:hAnsi="仿宋_GB2312" w:eastAsia="仿宋_GB2312" w:cs="仿宋_GB2312"/>
          <w:sz w:val="32"/>
          <w:szCs w:val="32"/>
          <w:lang w:eastAsia="zh-CN"/>
        </w:rPr>
        <w:t>年中追加金审信息化等经费。</w:t>
      </w:r>
    </w:p>
    <w:p w14:paraId="028F1F58">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科学技术支出</w:t>
      </w:r>
      <w:r>
        <w:rPr>
          <w:rFonts w:hint="eastAsia" w:ascii="仿宋_GB2312" w:hAnsi="仿宋_GB2312" w:eastAsia="仿宋_GB2312" w:cs="仿宋_GB2312"/>
          <w:sz w:val="32"/>
          <w:szCs w:val="32"/>
        </w:rPr>
        <w:t>（类）</w:t>
      </w:r>
      <w:r>
        <w:rPr>
          <w:rFonts w:hint="eastAsia" w:ascii="仿宋_GB2312" w:hAnsi="仿宋_GB2312" w:eastAsia="仿宋_GB2312" w:cs="仿宋_GB2312"/>
          <w:sz w:val="32"/>
          <w:szCs w:val="32"/>
          <w:lang w:eastAsia="zh-CN"/>
        </w:rPr>
        <w:t>其他科学技术支出</w:t>
      </w:r>
      <w:r>
        <w:rPr>
          <w:rFonts w:hint="eastAsia" w:ascii="仿宋_GB2312" w:hAnsi="仿宋_GB2312" w:eastAsia="仿宋_GB2312" w:cs="仿宋_GB2312"/>
          <w:sz w:val="32"/>
          <w:szCs w:val="32"/>
        </w:rPr>
        <w:t>（款）</w:t>
      </w:r>
      <w:r>
        <w:rPr>
          <w:rFonts w:hint="eastAsia" w:ascii="仿宋_GB2312" w:hAnsi="仿宋_GB2312" w:eastAsia="仿宋_GB2312" w:cs="仿宋_GB2312"/>
          <w:sz w:val="32"/>
          <w:szCs w:val="32"/>
          <w:lang w:eastAsia="zh-CN"/>
        </w:rPr>
        <w:t>其他科学技术支出</w:t>
      </w:r>
      <w:r>
        <w:rPr>
          <w:rFonts w:hint="eastAsia" w:ascii="仿宋_GB2312" w:hAnsi="仿宋_GB2312" w:eastAsia="仿宋_GB2312" w:cs="仿宋_GB2312"/>
          <w:sz w:val="32"/>
          <w:szCs w:val="32"/>
        </w:rPr>
        <w:t>（项）。</w:t>
      </w:r>
    </w:p>
    <w:p w14:paraId="0BD0B66C">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年初预算0万元，支出决算199.82万元，决算数大于年初预算数的主要原因是：</w:t>
      </w:r>
      <w:r>
        <w:rPr>
          <w:rFonts w:hint="eastAsia" w:ascii="仿宋_GB2312" w:hAnsi="仿宋_GB2312" w:eastAsia="仿宋_GB2312" w:cs="仿宋_GB2312"/>
          <w:sz w:val="32"/>
          <w:szCs w:val="32"/>
          <w:lang w:eastAsia="zh-CN"/>
        </w:rPr>
        <w:t>年中追加政府雇员经费。</w:t>
      </w:r>
    </w:p>
    <w:p w14:paraId="6FED6957">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社会保障和就业支出</w:t>
      </w:r>
      <w:r>
        <w:rPr>
          <w:rFonts w:hint="eastAsia" w:ascii="仿宋_GB2312" w:hAnsi="仿宋_GB2312" w:eastAsia="仿宋_GB2312" w:cs="仿宋_GB2312"/>
          <w:sz w:val="32"/>
          <w:szCs w:val="32"/>
        </w:rPr>
        <w:t>（类）</w:t>
      </w:r>
      <w:r>
        <w:rPr>
          <w:rFonts w:hint="eastAsia" w:ascii="仿宋_GB2312" w:hAnsi="仿宋_GB2312" w:eastAsia="仿宋_GB2312" w:cs="仿宋_GB2312"/>
          <w:sz w:val="32"/>
          <w:szCs w:val="32"/>
          <w:lang w:eastAsia="zh-CN"/>
        </w:rPr>
        <w:t>行政事业单位养老支出</w:t>
      </w:r>
      <w:r>
        <w:rPr>
          <w:rFonts w:hint="eastAsia" w:ascii="仿宋_GB2312" w:hAnsi="仿宋_GB2312" w:eastAsia="仿宋_GB2312" w:cs="仿宋_GB2312"/>
          <w:sz w:val="32"/>
          <w:szCs w:val="32"/>
        </w:rPr>
        <w:t>（款）</w:t>
      </w:r>
      <w:r>
        <w:rPr>
          <w:rFonts w:hint="eastAsia" w:ascii="仿宋_GB2312" w:hAnsi="仿宋_GB2312" w:eastAsia="仿宋_GB2312" w:cs="仿宋_GB2312"/>
          <w:sz w:val="32"/>
          <w:szCs w:val="32"/>
          <w:lang w:eastAsia="zh-CN"/>
        </w:rPr>
        <w:t>机关事业单位基本养老保险缴费支出</w:t>
      </w:r>
      <w:r>
        <w:rPr>
          <w:rFonts w:hint="eastAsia" w:ascii="仿宋_GB2312" w:hAnsi="仿宋_GB2312" w:eastAsia="仿宋_GB2312" w:cs="仿宋_GB2312"/>
          <w:sz w:val="32"/>
          <w:szCs w:val="32"/>
        </w:rPr>
        <w:t>（项）。</w:t>
      </w:r>
    </w:p>
    <w:p w14:paraId="3B51C979">
      <w:pPr>
        <w:pStyle w:val="12"/>
        <w:keepNext w:val="0"/>
        <w:keepLines w:val="0"/>
        <w:pageBreakBefore w:val="0"/>
        <w:widowControl w:val="0"/>
        <w:numPr>
          <w:ilvl w:val="0"/>
          <w:numId w:val="0"/>
        </w:numPr>
        <w:kinsoku/>
        <w:wordWrap/>
        <w:overflowPunct/>
        <w:topLinePunct w:val="0"/>
        <w:bidi w:val="0"/>
        <w:snapToGrid/>
        <w:spacing w:line="60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年初预算138.67万元，支出决算138.67万元，完成年初预算的100%，决算数大于年初预算数的主要原因是：经费控制较好。</w:t>
      </w:r>
    </w:p>
    <w:p w14:paraId="28D40E35">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社会保障和就业支出</w:t>
      </w:r>
      <w:r>
        <w:rPr>
          <w:rFonts w:hint="eastAsia" w:ascii="仿宋_GB2312" w:hAnsi="仿宋_GB2312" w:eastAsia="仿宋_GB2312" w:cs="仿宋_GB2312"/>
          <w:sz w:val="32"/>
          <w:szCs w:val="32"/>
        </w:rPr>
        <w:t>（类）</w:t>
      </w:r>
      <w:r>
        <w:rPr>
          <w:rFonts w:hint="eastAsia" w:ascii="仿宋_GB2312" w:hAnsi="仿宋_GB2312" w:eastAsia="仿宋_GB2312" w:cs="仿宋_GB2312"/>
          <w:sz w:val="32"/>
          <w:szCs w:val="32"/>
          <w:lang w:eastAsia="zh-CN"/>
        </w:rPr>
        <w:t>抚恤</w:t>
      </w:r>
      <w:r>
        <w:rPr>
          <w:rFonts w:hint="eastAsia" w:ascii="仿宋_GB2312" w:hAnsi="仿宋_GB2312" w:eastAsia="仿宋_GB2312" w:cs="仿宋_GB2312"/>
          <w:sz w:val="32"/>
          <w:szCs w:val="32"/>
        </w:rPr>
        <w:t>（款）</w:t>
      </w:r>
      <w:r>
        <w:rPr>
          <w:rFonts w:hint="eastAsia" w:ascii="仿宋_GB2312" w:hAnsi="仿宋_GB2312" w:eastAsia="仿宋_GB2312" w:cs="仿宋_GB2312"/>
          <w:sz w:val="32"/>
          <w:szCs w:val="32"/>
          <w:lang w:eastAsia="zh-CN"/>
        </w:rPr>
        <w:t>其他优抚支出</w:t>
      </w:r>
      <w:r>
        <w:rPr>
          <w:rFonts w:hint="eastAsia" w:ascii="仿宋_GB2312" w:hAnsi="仿宋_GB2312" w:eastAsia="仿宋_GB2312" w:cs="仿宋_GB2312"/>
          <w:sz w:val="32"/>
          <w:szCs w:val="32"/>
        </w:rPr>
        <w:t>（项）。</w:t>
      </w:r>
    </w:p>
    <w:p w14:paraId="5AF08F0D">
      <w:pPr>
        <w:pStyle w:val="12"/>
        <w:keepNext w:val="0"/>
        <w:keepLines w:val="0"/>
        <w:pageBreakBefore w:val="0"/>
        <w:widowControl w:val="0"/>
        <w:numPr>
          <w:ilvl w:val="0"/>
          <w:numId w:val="0"/>
        </w:numPr>
        <w:kinsoku/>
        <w:wordWrap/>
        <w:overflowPunct/>
        <w:topLinePunct w:val="0"/>
        <w:bidi w:val="0"/>
        <w:snapToGrid/>
        <w:spacing w:line="60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年初预算0万元，支出决算1.24万元，决算数大于年初预算数的主要原因是：</w:t>
      </w:r>
      <w:r>
        <w:rPr>
          <w:rFonts w:hint="eastAsia" w:ascii="仿宋_GB2312" w:hAnsi="仿宋_GB2312" w:eastAsia="仿宋_GB2312" w:cs="仿宋_GB2312"/>
          <w:sz w:val="32"/>
          <w:szCs w:val="32"/>
          <w:lang w:eastAsia="zh-CN"/>
        </w:rPr>
        <w:t>此项目为代编预算，未纳入年初预算。</w:t>
      </w:r>
    </w:p>
    <w:p w14:paraId="68E38A6C">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社会保障和就业支出</w:t>
      </w:r>
      <w:r>
        <w:rPr>
          <w:rFonts w:hint="eastAsia" w:ascii="仿宋_GB2312" w:hAnsi="仿宋_GB2312" w:eastAsia="仿宋_GB2312" w:cs="仿宋_GB2312"/>
          <w:sz w:val="32"/>
          <w:szCs w:val="32"/>
        </w:rPr>
        <w:t>（类）</w:t>
      </w:r>
      <w:r>
        <w:rPr>
          <w:rFonts w:hint="eastAsia" w:ascii="仿宋_GB2312" w:hAnsi="仿宋_GB2312" w:eastAsia="仿宋_GB2312" w:cs="仿宋_GB2312"/>
          <w:sz w:val="32"/>
          <w:szCs w:val="32"/>
          <w:lang w:eastAsia="zh-CN"/>
        </w:rPr>
        <w:t>残疾人事业</w:t>
      </w:r>
      <w:r>
        <w:rPr>
          <w:rFonts w:hint="eastAsia" w:ascii="仿宋_GB2312" w:hAnsi="仿宋_GB2312" w:eastAsia="仿宋_GB2312" w:cs="仿宋_GB2312"/>
          <w:sz w:val="32"/>
          <w:szCs w:val="32"/>
        </w:rPr>
        <w:t>（款）</w:t>
      </w:r>
      <w:r>
        <w:rPr>
          <w:rFonts w:hint="eastAsia" w:ascii="仿宋_GB2312" w:hAnsi="仿宋_GB2312" w:eastAsia="仿宋_GB2312" w:cs="仿宋_GB2312"/>
          <w:sz w:val="32"/>
          <w:szCs w:val="32"/>
          <w:lang w:eastAsia="zh-CN"/>
        </w:rPr>
        <w:t>其他残疾人事业支出</w:t>
      </w:r>
      <w:r>
        <w:rPr>
          <w:rFonts w:hint="eastAsia" w:ascii="仿宋_GB2312" w:hAnsi="仿宋_GB2312" w:eastAsia="仿宋_GB2312" w:cs="仿宋_GB2312"/>
          <w:sz w:val="32"/>
          <w:szCs w:val="32"/>
        </w:rPr>
        <w:t>（项）。</w:t>
      </w:r>
    </w:p>
    <w:p w14:paraId="538C4B67">
      <w:pPr>
        <w:pStyle w:val="12"/>
        <w:keepNext w:val="0"/>
        <w:keepLines w:val="0"/>
        <w:pageBreakBefore w:val="0"/>
        <w:widowControl w:val="0"/>
        <w:numPr>
          <w:ilvl w:val="0"/>
          <w:numId w:val="0"/>
        </w:numPr>
        <w:kinsoku/>
        <w:wordWrap/>
        <w:overflowPunct/>
        <w:topLinePunct w:val="0"/>
        <w:bidi w:val="0"/>
        <w:snapToGrid/>
        <w:spacing w:line="60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年初预算9.96万元，支出决算9.96万元，完成年初预算的100%，决算数等于年初预算数的主要原因是：经费控制较好。</w:t>
      </w:r>
    </w:p>
    <w:p w14:paraId="7DDBA3CE">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11</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卫生健康支出</w:t>
      </w:r>
      <w:r>
        <w:rPr>
          <w:rFonts w:hint="eastAsia" w:ascii="仿宋_GB2312" w:hAnsi="仿宋_GB2312" w:eastAsia="仿宋_GB2312" w:cs="仿宋_GB2312"/>
          <w:sz w:val="32"/>
          <w:szCs w:val="32"/>
        </w:rPr>
        <w:t>（类）</w:t>
      </w:r>
      <w:r>
        <w:rPr>
          <w:rFonts w:hint="eastAsia" w:ascii="仿宋_GB2312" w:hAnsi="仿宋_GB2312" w:eastAsia="仿宋_GB2312" w:cs="仿宋_GB2312"/>
          <w:sz w:val="32"/>
          <w:szCs w:val="32"/>
          <w:lang w:eastAsia="zh-CN"/>
        </w:rPr>
        <w:t>行政事业单位医疗</w:t>
      </w:r>
      <w:r>
        <w:rPr>
          <w:rFonts w:hint="eastAsia" w:ascii="仿宋_GB2312" w:hAnsi="仿宋_GB2312" w:eastAsia="仿宋_GB2312" w:cs="仿宋_GB2312"/>
          <w:sz w:val="32"/>
          <w:szCs w:val="32"/>
        </w:rPr>
        <w:t>（款）</w:t>
      </w:r>
      <w:r>
        <w:rPr>
          <w:rFonts w:hint="eastAsia" w:ascii="仿宋_GB2312" w:hAnsi="仿宋_GB2312" w:eastAsia="仿宋_GB2312" w:cs="仿宋_GB2312"/>
          <w:sz w:val="32"/>
          <w:szCs w:val="32"/>
          <w:lang w:eastAsia="zh-CN"/>
        </w:rPr>
        <w:t>公务员医疗补助</w:t>
      </w:r>
      <w:r>
        <w:rPr>
          <w:rFonts w:hint="eastAsia" w:ascii="仿宋_GB2312" w:hAnsi="仿宋_GB2312" w:eastAsia="仿宋_GB2312" w:cs="仿宋_GB2312"/>
          <w:sz w:val="32"/>
          <w:szCs w:val="32"/>
        </w:rPr>
        <w:t>（项）。</w:t>
      </w:r>
    </w:p>
    <w:p w14:paraId="2C2E585F">
      <w:pPr>
        <w:pStyle w:val="12"/>
        <w:keepNext w:val="0"/>
        <w:keepLines w:val="0"/>
        <w:pageBreakBefore w:val="0"/>
        <w:widowControl w:val="0"/>
        <w:numPr>
          <w:ilvl w:val="0"/>
          <w:numId w:val="0"/>
        </w:numPr>
        <w:kinsoku/>
        <w:wordWrap/>
        <w:overflowPunct/>
        <w:topLinePunct w:val="0"/>
        <w:autoSpaceDE w:val="0"/>
        <w:autoSpaceDN w:val="0"/>
        <w:bidi w:val="0"/>
        <w:adjustRightInd w:val="0"/>
        <w:snapToGrid/>
        <w:spacing w:line="60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年初预算20.06万元，支出决算0万元，决算数小于年初预算数的主要原因是：公务员医疗补助为财政代缴。</w:t>
      </w:r>
    </w:p>
    <w:p w14:paraId="332F033E">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住房保障支出</w:t>
      </w:r>
      <w:r>
        <w:rPr>
          <w:rFonts w:hint="eastAsia" w:ascii="仿宋_GB2312" w:hAnsi="仿宋_GB2312" w:eastAsia="仿宋_GB2312" w:cs="仿宋_GB2312"/>
          <w:sz w:val="32"/>
          <w:szCs w:val="32"/>
        </w:rPr>
        <w:t>（类）</w:t>
      </w:r>
      <w:r>
        <w:rPr>
          <w:rFonts w:hint="eastAsia" w:ascii="仿宋_GB2312" w:hAnsi="仿宋_GB2312" w:eastAsia="仿宋_GB2312" w:cs="仿宋_GB2312"/>
          <w:sz w:val="32"/>
          <w:szCs w:val="32"/>
          <w:lang w:eastAsia="zh-CN"/>
        </w:rPr>
        <w:t>保障性安居工程支出</w:t>
      </w:r>
      <w:r>
        <w:rPr>
          <w:rFonts w:hint="eastAsia" w:ascii="仿宋_GB2312" w:hAnsi="仿宋_GB2312" w:eastAsia="仿宋_GB2312" w:cs="仿宋_GB2312"/>
          <w:sz w:val="32"/>
          <w:szCs w:val="32"/>
        </w:rPr>
        <w:t>（款）</w:t>
      </w:r>
      <w:r>
        <w:rPr>
          <w:rFonts w:hint="eastAsia" w:ascii="仿宋_GB2312" w:hAnsi="仿宋_GB2312" w:eastAsia="仿宋_GB2312" w:cs="仿宋_GB2312"/>
          <w:sz w:val="32"/>
          <w:szCs w:val="32"/>
          <w:lang w:eastAsia="zh-CN"/>
        </w:rPr>
        <w:t>老旧小区改造</w:t>
      </w:r>
      <w:r>
        <w:rPr>
          <w:rFonts w:hint="eastAsia" w:ascii="仿宋_GB2312" w:hAnsi="仿宋_GB2312" w:eastAsia="仿宋_GB2312" w:cs="仿宋_GB2312"/>
          <w:sz w:val="32"/>
          <w:szCs w:val="32"/>
        </w:rPr>
        <w:t>（项）。</w:t>
      </w:r>
    </w:p>
    <w:p w14:paraId="30C6B165">
      <w:pPr>
        <w:pStyle w:val="12"/>
        <w:keepNext w:val="0"/>
        <w:keepLines w:val="0"/>
        <w:pageBreakBefore w:val="0"/>
        <w:widowControl w:val="0"/>
        <w:numPr>
          <w:ilvl w:val="0"/>
          <w:numId w:val="0"/>
        </w:numPr>
        <w:kinsoku/>
        <w:wordWrap/>
        <w:overflowPunct/>
        <w:topLinePunct w:val="0"/>
        <w:bidi w:val="0"/>
        <w:snapToGrid/>
        <w:spacing w:line="600" w:lineRule="exac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年初预算0万元，支出决算412.11万元，决算数大于年初预算数的主要原因是：新增老旧小区改造建设。</w:t>
      </w:r>
    </w:p>
    <w:p w14:paraId="0F22888C">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11</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住房保障支出</w:t>
      </w:r>
      <w:r>
        <w:rPr>
          <w:rFonts w:hint="eastAsia" w:ascii="仿宋_GB2312" w:hAnsi="仿宋_GB2312" w:eastAsia="仿宋_GB2312" w:cs="仿宋_GB2312"/>
          <w:sz w:val="32"/>
          <w:szCs w:val="32"/>
        </w:rPr>
        <w:t>（类）</w:t>
      </w:r>
      <w:r>
        <w:rPr>
          <w:rFonts w:hint="eastAsia" w:ascii="仿宋_GB2312" w:hAnsi="仿宋_GB2312" w:eastAsia="仿宋_GB2312" w:cs="仿宋_GB2312"/>
          <w:sz w:val="32"/>
          <w:szCs w:val="32"/>
          <w:lang w:eastAsia="zh-CN"/>
        </w:rPr>
        <w:t>住房改革支出</w:t>
      </w:r>
      <w:r>
        <w:rPr>
          <w:rFonts w:hint="eastAsia" w:ascii="仿宋_GB2312" w:hAnsi="仿宋_GB2312" w:eastAsia="仿宋_GB2312" w:cs="仿宋_GB2312"/>
          <w:sz w:val="32"/>
          <w:szCs w:val="32"/>
        </w:rPr>
        <w:t>（款）</w:t>
      </w:r>
      <w:r>
        <w:rPr>
          <w:rFonts w:hint="eastAsia" w:ascii="仿宋_GB2312" w:hAnsi="仿宋_GB2312" w:eastAsia="仿宋_GB2312" w:cs="仿宋_GB2312"/>
          <w:sz w:val="32"/>
          <w:szCs w:val="32"/>
          <w:lang w:eastAsia="zh-CN"/>
        </w:rPr>
        <w:t>住房公积金</w:t>
      </w:r>
      <w:r>
        <w:rPr>
          <w:rFonts w:hint="eastAsia" w:ascii="仿宋_GB2312" w:hAnsi="仿宋_GB2312" w:eastAsia="仿宋_GB2312" w:cs="仿宋_GB2312"/>
          <w:sz w:val="32"/>
          <w:szCs w:val="32"/>
        </w:rPr>
        <w:t>（项）。</w:t>
      </w:r>
    </w:p>
    <w:p w14:paraId="02FB7C7B">
      <w:pPr>
        <w:pStyle w:val="12"/>
        <w:keepNext w:val="0"/>
        <w:keepLines w:val="0"/>
        <w:pageBreakBefore w:val="0"/>
        <w:widowControl w:val="0"/>
        <w:numPr>
          <w:ilvl w:val="0"/>
          <w:numId w:val="0"/>
        </w:numPr>
        <w:kinsoku/>
        <w:wordWrap/>
        <w:overflowPunct/>
        <w:topLinePunct w:val="0"/>
        <w:bidi w:val="0"/>
        <w:snapToGrid/>
        <w:spacing w:line="600" w:lineRule="exac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年初预算100万元，支出决算105.50万元，完成年初预算的105.5%，决算数大于年初预算数的主要原因是：2024年新进3名人员。</w:t>
      </w:r>
    </w:p>
    <w:p w14:paraId="373E8BA2">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六、一般公共预算财政拨款基本支出决算情况说明</w:t>
      </w:r>
    </w:p>
    <w:p w14:paraId="293AEB61">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年度</w:t>
      </w:r>
      <w:r>
        <w:rPr>
          <w:rFonts w:hint="eastAsia" w:ascii="仿宋_GB2312" w:hAnsi="仿宋_GB2312" w:eastAsia="仿宋_GB2312" w:cs="仿宋_GB2312"/>
          <w:sz w:val="32"/>
          <w:szCs w:val="32"/>
          <w:lang w:eastAsia="zh-CN"/>
        </w:rPr>
        <w:t>一般公共预算</w:t>
      </w:r>
      <w:r>
        <w:rPr>
          <w:rFonts w:hint="eastAsia" w:ascii="仿宋_GB2312" w:hAnsi="仿宋_GB2312" w:eastAsia="仿宋_GB2312" w:cs="仿宋_GB2312"/>
          <w:sz w:val="32"/>
          <w:szCs w:val="32"/>
        </w:rPr>
        <w:t>财政拨款基本支出</w:t>
      </w:r>
      <w:r>
        <w:rPr>
          <w:rFonts w:hint="eastAsia" w:ascii="仿宋_GB2312" w:hAnsi="仿宋_GB2312" w:eastAsia="仿宋_GB2312" w:cs="仿宋_GB2312"/>
          <w:sz w:val="32"/>
          <w:szCs w:val="32"/>
          <w:lang w:val="en-US" w:eastAsia="zh-CN"/>
        </w:rPr>
        <w:t>2032.42</w:t>
      </w:r>
      <w:r>
        <w:rPr>
          <w:rFonts w:hint="eastAsia" w:ascii="仿宋_GB2312" w:hAnsi="仿宋_GB2312" w:eastAsia="仿宋_GB2312" w:cs="仿宋_GB2312"/>
          <w:sz w:val="32"/>
          <w:szCs w:val="32"/>
        </w:rPr>
        <w:t>万元，其中：</w:t>
      </w:r>
    </w:p>
    <w:p w14:paraId="5746FDD4">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rPr>
        <w:t>人员经费</w:t>
      </w:r>
      <w:r>
        <w:rPr>
          <w:rFonts w:hint="eastAsia" w:ascii="仿宋_GB2312" w:hAnsi="仿宋_GB2312" w:eastAsia="仿宋_GB2312" w:cs="仿宋_GB2312"/>
          <w:sz w:val="32"/>
          <w:szCs w:val="32"/>
          <w:lang w:val="en-US" w:eastAsia="zh-CN"/>
        </w:rPr>
        <w:t>1779.69</w:t>
      </w:r>
      <w:r>
        <w:rPr>
          <w:rFonts w:hint="eastAsia" w:ascii="仿宋_GB2312" w:hAnsi="仿宋_GB2312" w:eastAsia="仿宋_GB2312" w:cs="仿宋_GB2312"/>
          <w:sz w:val="32"/>
          <w:szCs w:val="32"/>
        </w:rPr>
        <w:t>万元，占基本支出的</w:t>
      </w:r>
      <w:r>
        <w:rPr>
          <w:rFonts w:hint="eastAsia" w:ascii="仿宋_GB2312" w:hAnsi="仿宋_GB2312" w:eastAsia="仿宋_GB2312" w:cs="仿宋_GB2312"/>
          <w:sz w:val="32"/>
          <w:szCs w:val="32"/>
          <w:lang w:val="en-US" w:eastAsia="zh-CN"/>
        </w:rPr>
        <w:t>87.57</w:t>
      </w:r>
      <w:r>
        <w:rPr>
          <w:rFonts w:hint="eastAsia" w:ascii="仿宋_GB2312" w:hAnsi="仿宋_GB2312" w:eastAsia="仿宋_GB2312" w:cs="仿宋_GB2312"/>
          <w:sz w:val="32"/>
          <w:szCs w:val="32"/>
        </w:rPr>
        <w:t>%,主要包括本工资、津贴补贴、奖金、伙食补助费</w:t>
      </w:r>
      <w:r>
        <w:rPr>
          <w:rFonts w:hint="eastAsia" w:ascii="仿宋_GB2312" w:hAnsi="仿宋_GB2312" w:eastAsia="仿宋_GB2312" w:cs="仿宋_GB2312"/>
          <w:sz w:val="32"/>
          <w:szCs w:val="32"/>
          <w:lang w:eastAsia="zh-CN"/>
        </w:rPr>
        <w:t>、绩效工资、机关事业单位基本养老保险缴费、职工基本医疗保险缴费、其他社会保障缴费、住房公积金、退休费、抚恤金、生活补助、医疗费补助、其他对个人和家庭的补助。</w:t>
      </w:r>
    </w:p>
    <w:p w14:paraId="5FFA65C5">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bCs/>
          <w:sz w:val="32"/>
          <w:szCs w:val="32"/>
        </w:rPr>
        <w:t>公用经费</w:t>
      </w:r>
      <w:r>
        <w:rPr>
          <w:rFonts w:hint="eastAsia" w:ascii="仿宋_GB2312" w:hAnsi="仿宋_GB2312" w:eastAsia="仿宋_GB2312" w:cs="仿宋_GB2312"/>
          <w:sz w:val="32"/>
          <w:szCs w:val="32"/>
          <w:lang w:val="en-US" w:eastAsia="zh-CN"/>
        </w:rPr>
        <w:t>252.73</w:t>
      </w:r>
      <w:r>
        <w:rPr>
          <w:rFonts w:hint="eastAsia" w:ascii="仿宋_GB2312" w:hAnsi="仿宋_GB2312" w:eastAsia="仿宋_GB2312" w:cs="仿宋_GB2312"/>
          <w:sz w:val="32"/>
          <w:szCs w:val="32"/>
        </w:rPr>
        <w:t>万元，占基本支出的</w:t>
      </w:r>
      <w:r>
        <w:rPr>
          <w:rFonts w:hint="eastAsia" w:ascii="仿宋_GB2312" w:hAnsi="仿宋_GB2312" w:eastAsia="仿宋_GB2312" w:cs="仿宋_GB2312"/>
          <w:sz w:val="32"/>
          <w:szCs w:val="32"/>
          <w:lang w:val="en-US" w:eastAsia="zh-CN"/>
        </w:rPr>
        <w:t>12.43</w:t>
      </w:r>
      <w:r>
        <w:rPr>
          <w:rFonts w:hint="eastAsia" w:ascii="仿宋_GB2312" w:hAnsi="仿宋_GB2312" w:eastAsia="仿宋_GB2312" w:cs="仿宋_GB2312"/>
          <w:sz w:val="32"/>
          <w:szCs w:val="32"/>
        </w:rPr>
        <w:t>%，主要包括</w:t>
      </w:r>
      <w:r>
        <w:rPr>
          <w:rFonts w:hint="eastAsia" w:ascii="仿宋_GB2312" w:hAnsi="仿宋_GB2312" w:eastAsia="仿宋_GB2312" w:cs="仿宋_GB2312"/>
          <w:sz w:val="32"/>
          <w:szCs w:val="32"/>
          <w:lang w:eastAsia="zh-CN"/>
        </w:rPr>
        <w:t>办公费、印刷费、水费、电费、邮电费、物业管理费、差旅费、维修（护）费、培训费、公务接待费、工会经费、福利费、公务用车运行维护费、其他交通费用、其他商品和服务支出</w:t>
      </w:r>
      <w:r>
        <w:rPr>
          <w:rFonts w:hint="eastAsia" w:ascii="仿宋_GB2312" w:hAnsi="仿宋_GB2312" w:eastAsia="仿宋_GB2312" w:cs="仿宋_GB2312"/>
          <w:sz w:val="32"/>
          <w:szCs w:val="32"/>
        </w:rPr>
        <w:t>。</w:t>
      </w:r>
    </w:p>
    <w:p w14:paraId="238B2762">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七、政府性基金预算收入支出决算情况</w:t>
      </w:r>
    </w:p>
    <w:p w14:paraId="12592558">
      <w:pPr>
        <w:pStyle w:val="12"/>
        <w:keepNext w:val="0"/>
        <w:keepLines w:val="0"/>
        <w:pageBreakBefore w:val="0"/>
        <w:widowControl w:val="0"/>
        <w:kinsoku/>
        <w:wordWrap/>
        <w:overflowPunct/>
        <w:topLinePunct w:val="0"/>
        <w:bidi w:val="0"/>
        <w:snapToGrid/>
        <w:spacing w:line="600" w:lineRule="exact"/>
        <w:textAlignment w:val="auto"/>
        <w:rPr>
          <w:rFonts w:hint="eastAsia" w:ascii="仿宋_GB2312" w:hAnsi="仿宋_GB2312" w:eastAsia="仿宋_GB2312" w:cs="仿宋_GB2312"/>
          <w:b/>
          <w:bCs/>
          <w:i/>
          <w:color w:val="auto"/>
          <w:kern w:val="0"/>
          <w:sz w:val="32"/>
          <w:szCs w:val="32"/>
          <w:lang w:val="en-US" w:eastAsia="zh-CN" w:bidi="ar-SA"/>
        </w:rPr>
      </w:pPr>
      <w:r>
        <w:rPr>
          <w:rFonts w:hint="eastAsia" w:ascii="Times New Roman" w:hAnsi="Times New Roman" w:eastAsia="仿宋_GB2312"/>
          <w:sz w:val="32"/>
          <w:szCs w:val="32"/>
        </w:rPr>
        <w:t xml:space="preserve">     </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年度政府性基金预算财政拨款收入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万元；年初结转和结余</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万元，其中基本支出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万元，项目支出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万元；年末结转和结余</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w:t>
      </w:r>
    </w:p>
    <w:p w14:paraId="28BDC771">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黑体" w:hAnsi="黑体" w:eastAsia="黑体" w:cs="黑体"/>
          <w:b w:val="0"/>
          <w:bCs/>
          <w:color w:val="000000"/>
          <w:kern w:val="0"/>
          <w:sz w:val="32"/>
          <w:szCs w:val="32"/>
          <w:lang w:val="en-US" w:eastAsia="zh-CN" w:bidi="ar-SA"/>
        </w:rPr>
      </w:pPr>
      <w:r>
        <w:rPr>
          <w:rFonts w:hint="eastAsia" w:ascii="黑体" w:hAnsi="黑体" w:eastAsia="黑体" w:cs="黑体"/>
          <w:b w:val="0"/>
          <w:bCs/>
          <w:color w:val="000000"/>
          <w:kern w:val="0"/>
          <w:sz w:val="32"/>
          <w:szCs w:val="32"/>
          <w:lang w:val="en-US" w:eastAsia="zh-CN" w:bidi="ar-SA"/>
        </w:rPr>
        <w:t>八、国有资本经营预算财政拨款支出决算情况</w:t>
      </w:r>
    </w:p>
    <w:p w14:paraId="64D19482">
      <w:pPr>
        <w:keepNext w:val="0"/>
        <w:keepLines w:val="0"/>
        <w:pageBreakBefore w:val="0"/>
        <w:widowControl w:val="0"/>
        <w:numPr>
          <w:ilvl w:val="0"/>
          <w:numId w:val="0"/>
        </w:numPr>
        <w:kinsoku/>
        <w:wordWrap/>
        <w:overflowPunct/>
        <w:topLinePunct w:val="0"/>
        <w:autoSpaceDE w:val="0"/>
        <w:autoSpaceDN w:val="0"/>
        <w:bidi w:val="0"/>
        <w:adjustRightInd w:val="0"/>
        <w:snapToGrid/>
        <w:spacing w:line="600" w:lineRule="exact"/>
        <w:ind w:firstLine="640" w:firstLineChars="200"/>
        <w:textAlignment w:val="auto"/>
        <w:rPr>
          <w:rFonts w:hint="eastAsia" w:ascii="黑体" w:hAnsi="黑体" w:eastAsia="黑体" w:cs="黑体"/>
          <w:b w:val="0"/>
          <w:bCs/>
          <w:sz w:val="32"/>
          <w:szCs w:val="32"/>
        </w:rPr>
      </w:pPr>
      <w:r>
        <w:rPr>
          <w:rFonts w:hint="eastAsia" w:ascii="仿宋_GB2312" w:hAnsi="仿宋_GB2312" w:eastAsia="仿宋_GB2312" w:cs="仿宋_GB2312"/>
          <w:color w:val="000000"/>
          <w:kern w:val="0"/>
          <w:sz w:val="32"/>
          <w:szCs w:val="32"/>
          <w:highlight w:val="none"/>
          <w:lang w:val="en-US" w:eastAsia="zh-CN" w:bidi="ar-SA"/>
        </w:rPr>
        <w:t>2024年度国有资本经营预算财政拨款收入12万元；年初结转和结余0万；支出0万元，</w:t>
      </w:r>
      <w:r>
        <w:rPr>
          <w:rFonts w:hint="eastAsia" w:ascii="仿宋_GB2312" w:hAnsi="仿宋_GB2312" w:eastAsia="仿宋_GB2312" w:cs="仿宋_GB2312"/>
          <w:i w:val="0"/>
          <w:iCs/>
          <w:color w:val="000000" w:themeColor="text1"/>
          <w:kern w:val="0"/>
          <w:sz w:val="32"/>
          <w:szCs w:val="32"/>
          <w:highlight w:val="none"/>
          <w:lang w:val="en-US" w:eastAsia="zh-CN" w:bidi="ar-SA"/>
          <w14:textFill>
            <w14:solidFill>
              <w14:schemeClr w14:val="tx1"/>
            </w14:solidFill>
          </w14:textFill>
        </w:rPr>
        <w:t>其中：基本支出0万元，项目支出12万元</w:t>
      </w:r>
      <w:r>
        <w:rPr>
          <w:rFonts w:hint="eastAsia" w:ascii="仿宋_GB2312" w:hAnsi="仿宋_GB2312" w:eastAsia="仿宋_GB2312" w:cs="仿宋_GB2312"/>
          <w:color w:val="000000"/>
          <w:kern w:val="0"/>
          <w:sz w:val="32"/>
          <w:szCs w:val="32"/>
          <w:highlight w:val="none"/>
          <w:lang w:val="en-US" w:eastAsia="zh-CN" w:bidi="ar-SA"/>
        </w:rPr>
        <w:t>；年末结转和结余0万元。</w:t>
      </w:r>
    </w:p>
    <w:p w14:paraId="5876C252">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hAnsi="黑体" w:cs="黑体"/>
          <w:b w:val="0"/>
          <w:bCs/>
          <w:sz w:val="32"/>
          <w:szCs w:val="32"/>
          <w:lang w:eastAsia="zh-CN"/>
        </w:rPr>
        <w:t>九、</w:t>
      </w:r>
      <w:r>
        <w:rPr>
          <w:rFonts w:hint="eastAsia" w:ascii="黑体" w:hAnsi="黑体" w:eastAsia="黑体" w:cs="黑体"/>
          <w:b w:val="0"/>
          <w:bCs/>
          <w:sz w:val="32"/>
          <w:szCs w:val="32"/>
        </w:rPr>
        <w:t>财政拨款三公经费支出决算情况说明</w:t>
      </w:r>
    </w:p>
    <w:p w14:paraId="6298EF1D">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w:t>
      </w:r>
      <w:r>
        <w:rPr>
          <w:rFonts w:hint="eastAsia" w:ascii="Times New Roman" w:hAnsi="Times New Roman" w:eastAsia="楷体_GB2312" w:cs="Times New Roman"/>
          <w:b/>
          <w:sz w:val="32"/>
          <w:szCs w:val="32"/>
          <w:lang w:eastAsia="zh-CN"/>
        </w:rPr>
        <w:t>“三公”</w:t>
      </w:r>
      <w:r>
        <w:rPr>
          <w:rFonts w:ascii="Times New Roman" w:hAnsi="Times New Roman" w:eastAsia="楷体_GB2312" w:cs="Times New Roman"/>
          <w:b/>
          <w:sz w:val="32"/>
          <w:szCs w:val="32"/>
        </w:rPr>
        <w:t>经费财政拨款支出决算总体情况说明</w:t>
      </w:r>
    </w:p>
    <w:p w14:paraId="730E9443">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2024年度“三公”经费财政拨款支出预算为</w:t>
      </w:r>
      <w:r>
        <w:rPr>
          <w:rFonts w:hint="eastAsia" w:ascii="Times New Roman" w:hAnsi="Times New Roman" w:eastAsia="仿宋_GB2312" w:cs="Times New Roman"/>
          <w:sz w:val="32"/>
          <w:szCs w:val="32"/>
          <w:lang w:val="en-US" w:eastAsia="zh-CN"/>
        </w:rPr>
        <w:t>13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10.56</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81.23</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0.26</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2.52</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小</w:t>
      </w:r>
      <w:r>
        <w:rPr>
          <w:rFonts w:ascii="Times New Roman" w:hAnsi="Times New Roman" w:eastAsia="仿宋_GB2312" w:cs="Times New Roman"/>
          <w:sz w:val="32"/>
          <w:szCs w:val="32"/>
        </w:rPr>
        <w:t>于预算数的主要原因是</w:t>
      </w:r>
      <w:r>
        <w:rPr>
          <w:rFonts w:hint="eastAsia" w:ascii="Times New Roman" w:hAnsi="Times New Roman" w:eastAsia="仿宋_GB2312" w:cs="Times New Roman"/>
          <w:sz w:val="32"/>
          <w:szCs w:val="32"/>
          <w:lang w:eastAsia="zh-CN"/>
        </w:rPr>
        <w:t>从严控制“三公”经费</w:t>
      </w:r>
      <w:r>
        <w:rPr>
          <w:rFonts w:ascii="Times New Roman" w:hAnsi="Times New Roman" w:eastAsia="仿宋_GB2312" w:cs="Times New Roman"/>
          <w:sz w:val="32"/>
          <w:szCs w:val="32"/>
        </w:rPr>
        <w:t>。决算数大于上年数的主要原因是</w:t>
      </w:r>
      <w:r>
        <w:rPr>
          <w:rFonts w:hint="eastAsia" w:ascii="Times New Roman" w:hAnsi="Times New Roman" w:eastAsia="仿宋_GB2312" w:cs="Times New Roman"/>
          <w:sz w:val="32"/>
          <w:szCs w:val="32"/>
          <w:lang w:val="en-US" w:eastAsia="zh-CN"/>
        </w:rPr>
        <w:t>车辆使用年限过长，修理费用上升</w:t>
      </w:r>
      <w:r>
        <w:rPr>
          <w:rFonts w:ascii="Times New Roman" w:hAnsi="Times New Roman" w:eastAsia="仿宋_GB2312" w:cs="Times New Roman"/>
          <w:sz w:val="32"/>
          <w:szCs w:val="32"/>
        </w:rPr>
        <w:t>。</w:t>
      </w:r>
    </w:p>
    <w:p w14:paraId="352D03A7">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w:t>
      </w:r>
      <w:r>
        <w:rPr>
          <w:rFonts w:hint="eastAsia" w:ascii="Times New Roman" w:hAnsi="Times New Roman" w:eastAsia="楷体_GB2312" w:cs="Times New Roman"/>
          <w:b/>
          <w:sz w:val="32"/>
          <w:szCs w:val="32"/>
          <w:lang w:eastAsia="zh-CN"/>
        </w:rPr>
        <w:t>“三公”</w:t>
      </w:r>
      <w:r>
        <w:rPr>
          <w:rFonts w:ascii="Times New Roman" w:hAnsi="Times New Roman" w:eastAsia="楷体_GB2312" w:cs="Times New Roman"/>
          <w:b/>
          <w:sz w:val="32"/>
          <w:szCs w:val="32"/>
        </w:rPr>
        <w:t>经费财政拨款支出决算具体情况说明</w:t>
      </w:r>
    </w:p>
    <w:p w14:paraId="0097BF7B">
      <w:pPr>
        <w:keepNext w:val="0"/>
        <w:keepLines w:val="0"/>
        <w:pageBreakBefore w:val="0"/>
        <w:widowControl w:val="0"/>
        <w:numPr>
          <w:ilvl w:val="0"/>
          <w:numId w:val="0"/>
        </w:numPr>
        <w:kinsoku/>
        <w:wordWrap/>
        <w:overflowPunct/>
        <w:topLinePunct w:val="0"/>
        <w:autoSpaceDE w:val="0"/>
        <w:autoSpaceDN w:val="0"/>
        <w:bidi w:val="0"/>
        <w:adjustRightInd w:val="0"/>
        <w:snapToGrid/>
        <w:spacing w:line="600" w:lineRule="exact"/>
        <w:ind w:firstLine="640" w:firstLineChars="200"/>
        <w:textAlignment w:val="auto"/>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1.</w:t>
      </w:r>
      <w:r>
        <w:rPr>
          <w:rFonts w:hint="eastAsia" w:ascii="仿宋_GB2312" w:hAnsi="仿宋_GB2312" w:eastAsia="仿宋_GB2312" w:cs="仿宋_GB2312"/>
          <w:sz w:val="32"/>
          <w:szCs w:val="32"/>
        </w:rPr>
        <w:t>因公出国（境）费支出预算为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w:t>
      </w:r>
      <w:r>
        <w:rPr>
          <w:rFonts w:hint="eastAsia" w:ascii="仿宋_GB2312" w:hAnsi="仿宋_GB2312" w:eastAsia="仿宋_GB2312" w:cs="仿宋_GB2312"/>
          <w:color w:val="000000"/>
          <w:kern w:val="0"/>
          <w:sz w:val="32"/>
          <w:szCs w:val="32"/>
          <w:lang w:val="en-US" w:eastAsia="zh-CN" w:bidi="ar-SA"/>
        </w:rPr>
        <w:t>决算数等于预算数，主要原因是我单位严格按预算执行决算；与上年一致，无增减变动，主要原因是未安排因公出国（境）活动。</w:t>
      </w:r>
    </w:p>
    <w:p w14:paraId="65978CAB">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12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9.71</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80.92</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0.89</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10.09</w:t>
      </w:r>
      <w:r>
        <w:rPr>
          <w:rFonts w:ascii="Times New Roman" w:hAnsi="Times New Roman" w:eastAsia="仿宋_GB2312" w:cs="Times New Roman"/>
          <w:sz w:val="32"/>
          <w:szCs w:val="32"/>
        </w:rPr>
        <w:t>%。其中：</w:t>
      </w:r>
    </w:p>
    <w:p w14:paraId="107F551B">
      <w:pPr>
        <w:pStyle w:val="12"/>
        <w:overflowPunct w:val="0"/>
        <w:autoSpaceDE/>
        <w:autoSpaceDN/>
        <w:spacing w:line="60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公务用车购置费支出预算为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val="en-US" w:eastAsia="zh-CN"/>
        </w:rPr>
        <w:t xml:space="preserve">决算数等于预算数，主要原因是我单位严格按预算执行决算；与上年一致，无增减变动，主要原因是两年均未购置公务用车。 </w:t>
      </w:r>
    </w:p>
    <w:p w14:paraId="75A272CE">
      <w:pPr>
        <w:pStyle w:val="12"/>
        <w:overflowPunct w:val="0"/>
        <w:autoSpaceDE/>
        <w:autoSpaceDN/>
        <w:spacing w:line="600" w:lineRule="exact"/>
        <w:ind w:firstLine="640" w:firstLineChars="200"/>
        <w:jc w:val="both"/>
        <w:rPr>
          <w:rFonts w:ascii="Times New Roman" w:hAnsi="Times New Roman" w:eastAsia="楷体" w:cs="Times New Roman"/>
          <w:b/>
          <w:bCs/>
          <w:i/>
          <w:color w:val="FF0000"/>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12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9.71</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80.92</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0.89</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10.09</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eastAsia="zh-CN"/>
        </w:rPr>
        <w:t>从严控制“三公”经费</w:t>
      </w:r>
      <w:r>
        <w:rPr>
          <w:rFonts w:ascii="Times New Roman" w:hAnsi="Times New Roman" w:eastAsia="仿宋_GB2312" w:cs="Times New Roman"/>
          <w:sz w:val="32"/>
          <w:szCs w:val="32"/>
        </w:rPr>
        <w:t>。决算数大于上年数的主要原因是</w:t>
      </w:r>
      <w:r>
        <w:rPr>
          <w:rFonts w:hint="eastAsia" w:ascii="Times New Roman" w:hAnsi="Times New Roman" w:eastAsia="仿宋_GB2312" w:cs="Times New Roman"/>
          <w:sz w:val="32"/>
          <w:szCs w:val="32"/>
          <w:lang w:eastAsia="zh-CN"/>
        </w:rPr>
        <w:t>车辆使用年限过长，修理费用上升</w:t>
      </w:r>
      <w:r>
        <w:rPr>
          <w:rFonts w:ascii="Times New Roman" w:hAnsi="Times New Roman" w:eastAsia="仿宋_GB2312" w:cs="Times New Roman"/>
          <w:sz w:val="32"/>
          <w:szCs w:val="32"/>
        </w:rPr>
        <w:t>。</w:t>
      </w:r>
      <w:r>
        <w:rPr>
          <w:rFonts w:ascii="Times New Roman" w:hAnsi="Times New Roman" w:eastAsia="仿宋_GB2312" w:cs="Times New Roman"/>
          <w:sz w:val="32"/>
          <w:szCs w:val="32"/>
          <w:highlight w:val="none"/>
        </w:rPr>
        <w:t>截止</w:t>
      </w:r>
      <w:r>
        <w:rPr>
          <w:rFonts w:hint="eastAsia" w:ascii="Times New Roman" w:hAnsi="Times New Roman" w:eastAsia="仿宋_GB2312" w:cs="Times New Roman"/>
          <w:sz w:val="32"/>
          <w:szCs w:val="32"/>
          <w:highlight w:val="none"/>
          <w:lang w:eastAsia="zh-CN"/>
        </w:rPr>
        <w:t>到</w:t>
      </w:r>
      <w:r>
        <w:rPr>
          <w:rFonts w:ascii="Times New Roman" w:hAnsi="Times New Roman" w:eastAsia="仿宋_GB2312" w:cs="Times New Roman"/>
          <w:sz w:val="32"/>
          <w:szCs w:val="32"/>
        </w:rPr>
        <w:t>2024年12月31日，我单位开支财政拨款的公务用车保有量为</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辆。</w:t>
      </w:r>
    </w:p>
    <w:p w14:paraId="039328FA">
      <w:pPr>
        <w:numPr>
          <w:ilvl w:val="0"/>
          <w:numId w:val="2"/>
        </w:numPr>
        <w:ind w:firstLine="640" w:firstLineChars="200"/>
        <w:rPr>
          <w:rFonts w:hint="eastAsia" w:ascii="Times New Roman" w:hAnsi="Times New Roman" w:eastAsia="仿宋_GB2312"/>
          <w:b/>
          <w:color w:val="auto"/>
          <w:sz w:val="32"/>
          <w:szCs w:val="32"/>
          <w:lang w:eastAsia="zh-CN"/>
        </w:rPr>
      </w:pPr>
      <w:r>
        <w:rPr>
          <w:rFonts w:ascii="Times New Roman" w:hAnsi="Times New Roman" w:eastAsia="仿宋_GB2312" w:cs="Times New Roman"/>
          <w:sz w:val="32"/>
          <w:szCs w:val="32"/>
        </w:rPr>
        <w:t>公务接待费支出预算为</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0.85</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85</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0.63</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42.57</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eastAsia="zh-CN"/>
        </w:rPr>
        <w:t>从严控制“三公”经费</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eastAsia="zh-CN"/>
        </w:rPr>
        <w:t>从严控制“三公”经费</w:t>
      </w:r>
      <w:r>
        <w:rPr>
          <w:rFonts w:ascii="Times New Roman" w:hAnsi="Times New Roman" w:eastAsia="仿宋_GB2312" w:cs="Times New Roman"/>
          <w:sz w:val="32"/>
          <w:szCs w:val="32"/>
        </w:rPr>
        <w:t>。2024年度共接待来访团组</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52</w:t>
      </w:r>
      <w:r>
        <w:rPr>
          <w:rFonts w:ascii="Times New Roman" w:hAnsi="Times New Roman" w:eastAsia="仿宋_GB2312" w:cs="Times New Roman"/>
          <w:sz w:val="32"/>
          <w:szCs w:val="32"/>
        </w:rPr>
        <w:t>人次，主要是</w:t>
      </w:r>
      <w:r>
        <w:rPr>
          <w:rFonts w:hint="eastAsia" w:ascii="Times New Roman" w:hAnsi="Times New Roman" w:eastAsia="仿宋_GB2312" w:cs="Times New Roman"/>
          <w:color w:val="auto"/>
          <w:sz w:val="32"/>
          <w:szCs w:val="32"/>
          <w:lang w:eastAsia="zh-CN"/>
        </w:rPr>
        <w:t>湖南省审计厅</w:t>
      </w:r>
      <w:r>
        <w:rPr>
          <w:rFonts w:ascii="Times New Roman" w:hAnsi="Times New Roman" w:eastAsia="仿宋_GB2312" w:cs="Times New Roman"/>
          <w:sz w:val="32"/>
          <w:szCs w:val="32"/>
        </w:rPr>
        <w:t>发生的接待支出。</w:t>
      </w:r>
    </w:p>
    <w:p w14:paraId="3D06ACE2">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b/>
          <w:color w:val="auto"/>
          <w:sz w:val="32"/>
          <w:szCs w:val="32"/>
        </w:rPr>
      </w:pPr>
      <w:r>
        <w:rPr>
          <w:rFonts w:hint="eastAsia" w:ascii="Times New Roman" w:hAnsi="Times New Roman" w:eastAsia="仿宋_GB2312"/>
          <w:b/>
          <w:color w:val="auto"/>
          <w:sz w:val="32"/>
          <w:szCs w:val="32"/>
          <w:lang w:eastAsia="zh-CN"/>
        </w:rPr>
        <w:t>十</w:t>
      </w:r>
      <w:r>
        <w:rPr>
          <w:rFonts w:hint="eastAsia" w:ascii="Times New Roman" w:hAnsi="Times New Roman" w:eastAsia="仿宋_GB2312"/>
          <w:b/>
          <w:color w:val="auto"/>
          <w:sz w:val="32"/>
          <w:szCs w:val="32"/>
        </w:rPr>
        <w:t>、关于机关运行经费支出说明</w:t>
      </w:r>
    </w:p>
    <w:p w14:paraId="38BA3ACD">
      <w:pPr>
        <w:pStyle w:val="12"/>
        <w:ind w:firstLine="640" w:firstLineChars="200"/>
        <w:rPr>
          <w:rFonts w:ascii="Times New Roman" w:hAnsi="Times New Roman" w:eastAsia="仿宋_GB2312"/>
          <w:sz w:val="32"/>
          <w:szCs w:val="32"/>
        </w:rPr>
      </w:pPr>
      <w:r>
        <w:rPr>
          <w:rFonts w:hint="eastAsia" w:ascii="仿宋_GB2312" w:hAnsi="仿宋_GB2312" w:eastAsia="仿宋_GB2312" w:cs="仿宋_GB2312"/>
          <w:sz w:val="32"/>
          <w:szCs w:val="32"/>
        </w:rPr>
        <w:t>本部门202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年度机关运行经费支出</w:t>
      </w:r>
      <w:r>
        <w:rPr>
          <w:rFonts w:hint="eastAsia" w:ascii="仿宋_GB2312" w:hAnsi="仿宋_GB2312" w:eastAsia="仿宋_GB2312" w:cs="仿宋_GB2312"/>
          <w:sz w:val="32"/>
          <w:szCs w:val="32"/>
          <w:lang w:val="en-US" w:eastAsia="zh-CN"/>
        </w:rPr>
        <w:t>252.73</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highlight w:val="none"/>
        </w:rPr>
        <w:t>比年初预算数（或者上年决算数）减少</w:t>
      </w:r>
      <w:r>
        <w:rPr>
          <w:rFonts w:hint="eastAsia" w:ascii="仿宋_GB2312" w:hAnsi="仿宋_GB2312" w:eastAsia="仿宋_GB2312" w:cs="仿宋_GB2312"/>
          <w:sz w:val="32"/>
          <w:szCs w:val="32"/>
          <w:highlight w:val="none"/>
          <w:lang w:val="en-US" w:eastAsia="zh-CN"/>
        </w:rPr>
        <w:t>1.4</w:t>
      </w:r>
      <w:r>
        <w:rPr>
          <w:rFonts w:hint="eastAsia" w:ascii="仿宋_GB2312" w:hAnsi="仿宋_GB2312" w:eastAsia="仿宋_GB2312" w:cs="仿宋_GB2312"/>
          <w:sz w:val="32"/>
          <w:szCs w:val="32"/>
          <w:highlight w:val="none"/>
        </w:rPr>
        <w:t xml:space="preserve"> 万元，降低</w:t>
      </w:r>
      <w:r>
        <w:rPr>
          <w:rFonts w:hint="eastAsia" w:ascii="仿宋_GB2312" w:hAnsi="仿宋_GB2312" w:eastAsia="仿宋_GB2312" w:cs="仿宋_GB2312"/>
          <w:sz w:val="32"/>
          <w:szCs w:val="32"/>
          <w:highlight w:val="none"/>
          <w:lang w:val="en-US" w:eastAsia="zh-CN"/>
        </w:rPr>
        <w:t>0.55</w:t>
      </w:r>
      <w:r>
        <w:rPr>
          <w:rFonts w:hint="eastAsia" w:ascii="仿宋_GB2312" w:hAnsi="仿宋_GB2312" w:eastAsia="仿宋_GB2312" w:cs="仿宋_GB2312"/>
          <w:sz w:val="32"/>
          <w:szCs w:val="32"/>
          <w:highlight w:val="none"/>
        </w:rPr>
        <w:t>%。主要原因是：</w:t>
      </w:r>
      <w:r>
        <w:rPr>
          <w:rFonts w:hint="eastAsia" w:ascii="仿宋_GB2312" w:hAnsi="仿宋_GB2312" w:eastAsia="仿宋_GB2312" w:cs="仿宋_GB2312"/>
          <w:sz w:val="32"/>
          <w:szCs w:val="32"/>
          <w:highlight w:val="none"/>
          <w:lang w:eastAsia="zh-CN"/>
        </w:rPr>
        <w:t>经费控制较好</w:t>
      </w:r>
      <w:r>
        <w:rPr>
          <w:rFonts w:hint="eastAsia" w:ascii="楷体" w:hAnsi="楷体" w:eastAsia="楷体" w:cs="楷体"/>
          <w:sz w:val="32"/>
          <w:szCs w:val="32"/>
        </w:rPr>
        <w:t>。</w:t>
      </w:r>
    </w:p>
    <w:p w14:paraId="39684EF2">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w:t>
      </w:r>
      <w:r>
        <w:rPr>
          <w:rFonts w:hint="eastAsia" w:hAnsi="黑体" w:cs="黑体"/>
          <w:b w:val="0"/>
          <w:bCs/>
          <w:sz w:val="32"/>
          <w:szCs w:val="32"/>
          <w:lang w:eastAsia="zh-CN"/>
        </w:rPr>
        <w:t>一</w:t>
      </w:r>
      <w:r>
        <w:rPr>
          <w:rFonts w:hint="eastAsia" w:ascii="黑体" w:hAnsi="黑体" w:eastAsia="黑体" w:cs="黑体"/>
          <w:b w:val="0"/>
          <w:bCs/>
          <w:sz w:val="32"/>
          <w:szCs w:val="32"/>
        </w:rPr>
        <w:t>、一般性支出情况说明</w:t>
      </w:r>
    </w:p>
    <w:p w14:paraId="5E588319">
      <w:pPr>
        <w:pStyle w:val="12"/>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年度，会议费年初预算0万元，支出决算为0.6万元，由于预算数为0，无法计算完成年初预算的百分比。用于召开全市审计整改推进会议，</w:t>
      </w:r>
      <w:r>
        <w:rPr>
          <w:rFonts w:hint="eastAsia" w:ascii="仿宋_GB2312" w:hAnsi="仿宋_GB2312" w:eastAsia="仿宋_GB2312" w:cs="仿宋_GB2312"/>
          <w:sz w:val="32"/>
          <w:szCs w:val="32"/>
        </w:rPr>
        <w:t>人数</w:t>
      </w:r>
      <w:r>
        <w:rPr>
          <w:rFonts w:hint="eastAsia" w:ascii="仿宋_GB2312" w:hAnsi="仿宋_GB2312" w:eastAsia="仿宋_GB2312" w:cs="仿宋_GB2312"/>
          <w:sz w:val="32"/>
          <w:szCs w:val="32"/>
          <w:lang w:val="en-US" w:eastAsia="zh-CN"/>
        </w:rPr>
        <w:t>120</w:t>
      </w:r>
      <w:r>
        <w:rPr>
          <w:rFonts w:hint="eastAsia" w:ascii="仿宋_GB2312" w:hAnsi="仿宋_GB2312" w:eastAsia="仿宋_GB2312" w:cs="仿宋_GB2312"/>
          <w:sz w:val="32"/>
          <w:szCs w:val="32"/>
        </w:rPr>
        <w:t>人，内容为</w:t>
      </w:r>
      <w:r>
        <w:rPr>
          <w:rFonts w:hint="eastAsia" w:ascii="仿宋_GB2312" w:hAnsi="仿宋_GB2312" w:eastAsia="仿宋_GB2312" w:cs="仿宋_GB2312"/>
          <w:sz w:val="32"/>
          <w:szCs w:val="32"/>
          <w:lang w:eastAsia="zh-CN"/>
        </w:rPr>
        <w:t>审计整改。</w:t>
      </w:r>
    </w:p>
    <w:p w14:paraId="6BF19328">
      <w:pPr>
        <w:widowControl w:val="0"/>
        <w:autoSpaceDE w:val="0"/>
        <w:autoSpaceDN w:val="0"/>
        <w:adjustRightInd w:val="0"/>
        <w:ind w:firstLine="640" w:firstLineChars="200"/>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培训费年初预算10万元，支出决算为10万元，完成年初预算的100%。用于开展审计人员业务及大数据审计培训，人数21人，内容为</w:t>
      </w:r>
      <w:r>
        <w:rPr>
          <w:rFonts w:hint="eastAsia" w:ascii="Times New Roman" w:hAnsi="Times New Roman" w:eastAsia="仿宋_GB2312"/>
          <w:sz w:val="32"/>
          <w:szCs w:val="32"/>
          <w:lang w:eastAsia="zh-CN"/>
        </w:rPr>
        <w:t>大数据审计培训及党校培训费用</w:t>
      </w:r>
      <w:r>
        <w:rPr>
          <w:rFonts w:hint="eastAsia" w:ascii="仿宋_GB2312" w:hAnsi="仿宋_GB2312" w:eastAsia="仿宋_GB2312" w:cs="仿宋_GB2312"/>
          <w:color w:val="000000"/>
          <w:kern w:val="0"/>
          <w:sz w:val="32"/>
          <w:szCs w:val="32"/>
          <w:lang w:val="en-US" w:eastAsia="zh-CN" w:bidi="ar-SA"/>
        </w:rPr>
        <w:t>。</w:t>
      </w:r>
    </w:p>
    <w:p w14:paraId="39C2EAB5">
      <w:pPr>
        <w:widowControl w:val="0"/>
        <w:autoSpaceDE w:val="0"/>
        <w:autoSpaceDN w:val="0"/>
        <w:adjustRightInd w:val="0"/>
        <w:ind w:firstLine="640" w:firstLineChars="200"/>
        <w:rPr>
          <w:rFonts w:hint="eastAsia" w:ascii="仿宋_GB2312" w:hAnsi="仿宋_GB2312" w:eastAsia="仿宋_GB2312" w:cs="仿宋_GB2312"/>
          <w:b/>
          <w:bCs/>
          <w:i/>
          <w:color w:val="FF0000"/>
          <w:kern w:val="0"/>
          <w:sz w:val="32"/>
          <w:szCs w:val="32"/>
          <w:highlight w:val="yellow"/>
          <w:lang w:val="en-US" w:eastAsia="zh-CN" w:bidi="ar-SA"/>
        </w:rPr>
      </w:pPr>
      <w:r>
        <w:rPr>
          <w:rFonts w:hint="eastAsia" w:ascii="仿宋_GB2312" w:hAnsi="仿宋_GB2312" w:eastAsia="仿宋_GB2312" w:cs="仿宋_GB2312"/>
          <w:color w:val="000000"/>
          <w:kern w:val="0"/>
          <w:sz w:val="32"/>
          <w:szCs w:val="32"/>
          <w:lang w:val="en-US" w:eastAsia="zh-CN" w:bidi="ar-SA"/>
        </w:rPr>
        <w:t>本单位无举办节庆、晚会、论坛、赛事等活动的预算和支出决算数。</w:t>
      </w:r>
    </w:p>
    <w:p w14:paraId="58D56B3F">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default" w:ascii="宋体" w:hAnsi="宋体" w:eastAsia="仿宋_GB2312"/>
          <w:i/>
          <w:color w:val="FF0000"/>
          <w:sz w:val="32"/>
          <w:szCs w:val="32"/>
          <w:lang w:val="en-US" w:eastAsia="zh-CN"/>
        </w:rPr>
      </w:pPr>
      <w:r>
        <w:rPr>
          <w:rFonts w:hint="eastAsia" w:ascii="黑体" w:hAnsi="黑体" w:eastAsia="黑体" w:cs="黑体"/>
          <w:b w:val="0"/>
          <w:bCs/>
          <w:sz w:val="32"/>
          <w:szCs w:val="32"/>
        </w:rPr>
        <w:t>十</w:t>
      </w:r>
      <w:r>
        <w:rPr>
          <w:rFonts w:hint="eastAsia" w:hAnsi="黑体" w:cs="黑体"/>
          <w:b w:val="0"/>
          <w:bCs/>
          <w:sz w:val="32"/>
          <w:szCs w:val="32"/>
          <w:lang w:eastAsia="zh-CN"/>
        </w:rPr>
        <w:t>二</w:t>
      </w:r>
      <w:r>
        <w:rPr>
          <w:rFonts w:hint="eastAsia" w:ascii="黑体" w:hAnsi="黑体" w:eastAsia="黑体" w:cs="黑体"/>
          <w:b w:val="0"/>
          <w:bCs/>
          <w:sz w:val="32"/>
          <w:szCs w:val="32"/>
        </w:rPr>
        <w:t>、关于政府采购支出说明</w:t>
      </w:r>
    </w:p>
    <w:p w14:paraId="087F52B8">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宋体" w:hAnsi="宋体" w:eastAsia="宋体"/>
          <w:i/>
          <w:color w:val="auto"/>
          <w:sz w:val="32"/>
          <w:szCs w:val="32"/>
          <w:lang w:val="en-US" w:eastAsia="zh-CN"/>
        </w:rPr>
      </w:pPr>
      <w:r>
        <w:rPr>
          <w:rFonts w:hint="eastAsia" w:ascii="Times New Roman" w:hAnsi="Times New Roman" w:eastAsia="仿宋_GB2312"/>
          <w:color w:val="auto"/>
          <w:sz w:val="32"/>
          <w:szCs w:val="32"/>
        </w:rPr>
        <w:t>本部门202</w:t>
      </w:r>
      <w:r>
        <w:rPr>
          <w:rFonts w:hint="eastAsia" w:ascii="Times New Roman" w:hAnsi="Times New Roman" w:eastAsia="仿宋_GB2312"/>
          <w:color w:val="auto"/>
          <w:sz w:val="32"/>
          <w:szCs w:val="32"/>
          <w:lang w:val="en-US" w:eastAsia="zh-CN"/>
        </w:rPr>
        <w:t>4</w:t>
      </w:r>
      <w:r>
        <w:rPr>
          <w:rFonts w:hint="eastAsia" w:ascii="Times New Roman" w:hAnsi="Times New Roman" w:eastAsia="仿宋_GB2312"/>
          <w:color w:val="auto"/>
          <w:sz w:val="32"/>
          <w:szCs w:val="32"/>
        </w:rPr>
        <w:t>年度政府采购支出总额</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万元，其中：政府采购货物支出</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万元、政府采购工程支出</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万元、政府采购服务支出</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万元。授予中小企业合同金额</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万元</w:t>
      </w:r>
      <w:r>
        <w:rPr>
          <w:rFonts w:hint="eastAsia" w:ascii="Times New Roman" w:hAnsi="Times New Roman" w:eastAsia="仿宋_GB2312"/>
          <w:color w:val="auto"/>
          <w:sz w:val="32"/>
          <w:szCs w:val="32"/>
          <w:lang w:eastAsia="zh-CN"/>
        </w:rPr>
        <w:t>（由于</w:t>
      </w:r>
      <w:r>
        <w:rPr>
          <w:rFonts w:hint="eastAsia" w:ascii="Times New Roman" w:hAnsi="Times New Roman" w:eastAsia="仿宋_GB2312"/>
          <w:color w:val="auto"/>
          <w:sz w:val="32"/>
          <w:szCs w:val="32"/>
        </w:rPr>
        <w:t>政府采购支出总额</w:t>
      </w:r>
      <w:r>
        <w:rPr>
          <w:rFonts w:hint="eastAsia" w:ascii="Times New Roman" w:hAnsi="Times New Roman" w:eastAsia="仿宋_GB2312"/>
          <w:color w:val="auto"/>
          <w:sz w:val="32"/>
          <w:szCs w:val="32"/>
          <w:lang w:eastAsia="zh-CN"/>
        </w:rPr>
        <w:t>为</w:t>
      </w:r>
      <w:r>
        <w:rPr>
          <w:rFonts w:hint="eastAsia" w:ascii="Times New Roman" w:hAnsi="Times New Roman" w:eastAsia="仿宋_GB2312"/>
          <w:color w:val="auto"/>
          <w:sz w:val="32"/>
          <w:szCs w:val="32"/>
          <w:lang w:val="en-US" w:eastAsia="zh-CN"/>
        </w:rPr>
        <w:t>0，故无法计算</w:t>
      </w:r>
      <w:r>
        <w:rPr>
          <w:rFonts w:hint="eastAsia" w:ascii="Times New Roman" w:hAnsi="Times New Roman" w:eastAsia="仿宋_GB2312"/>
          <w:color w:val="auto"/>
          <w:sz w:val="32"/>
          <w:szCs w:val="32"/>
        </w:rPr>
        <w:t>占政府采购支出总额的</w:t>
      </w:r>
      <w:r>
        <w:rPr>
          <w:rFonts w:hint="eastAsia" w:ascii="Times New Roman" w:hAnsi="Times New Roman" w:eastAsia="仿宋_GB2312"/>
          <w:color w:val="auto"/>
          <w:sz w:val="32"/>
          <w:szCs w:val="32"/>
          <w:lang w:eastAsia="zh-CN"/>
        </w:rPr>
        <w:t>比重）</w:t>
      </w:r>
      <w:r>
        <w:rPr>
          <w:rFonts w:hint="eastAsia" w:ascii="Times New Roman" w:hAnsi="Times New Roman" w:eastAsia="仿宋_GB2312"/>
          <w:color w:val="auto"/>
          <w:sz w:val="32"/>
          <w:szCs w:val="32"/>
        </w:rPr>
        <w:t>，其中：授予小微企业合同金额</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万元</w:t>
      </w:r>
      <w:r>
        <w:rPr>
          <w:rFonts w:hint="eastAsia" w:ascii="Times New Roman" w:hAnsi="Times New Roman" w:eastAsia="仿宋_GB2312"/>
          <w:color w:val="auto"/>
          <w:sz w:val="32"/>
          <w:szCs w:val="32"/>
          <w:lang w:eastAsia="zh-CN"/>
        </w:rPr>
        <w:t>（由于授予中小企业合同金额为</w:t>
      </w:r>
      <w:r>
        <w:rPr>
          <w:rFonts w:hint="eastAsia" w:ascii="Times New Roman" w:hAnsi="Times New Roman" w:eastAsia="仿宋_GB2312"/>
          <w:color w:val="auto"/>
          <w:sz w:val="32"/>
          <w:szCs w:val="32"/>
          <w:lang w:val="en-US" w:eastAsia="zh-CN"/>
        </w:rPr>
        <w:t>0，故无法计算</w:t>
      </w:r>
      <w:r>
        <w:rPr>
          <w:rFonts w:hint="eastAsia" w:ascii="Times New Roman" w:hAnsi="Times New Roman" w:eastAsia="仿宋_GB2312"/>
          <w:color w:val="auto"/>
          <w:sz w:val="32"/>
          <w:szCs w:val="32"/>
        </w:rPr>
        <w:t>占</w:t>
      </w:r>
      <w:r>
        <w:rPr>
          <w:rFonts w:hint="eastAsia" w:ascii="Times New Roman" w:hAnsi="Times New Roman" w:eastAsia="仿宋_GB2312"/>
          <w:color w:val="auto"/>
          <w:sz w:val="32"/>
          <w:szCs w:val="32"/>
          <w:lang w:eastAsia="zh-CN"/>
        </w:rPr>
        <w:t>授予中小企业合同金额</w:t>
      </w:r>
      <w:r>
        <w:rPr>
          <w:rFonts w:hint="eastAsia" w:ascii="Times New Roman" w:hAnsi="Times New Roman" w:eastAsia="仿宋_GB2312"/>
          <w:color w:val="auto"/>
          <w:sz w:val="32"/>
          <w:szCs w:val="32"/>
        </w:rPr>
        <w:t>的</w:t>
      </w:r>
      <w:r>
        <w:rPr>
          <w:rFonts w:hint="eastAsia" w:ascii="Times New Roman" w:hAnsi="Times New Roman" w:eastAsia="仿宋_GB2312"/>
          <w:color w:val="auto"/>
          <w:sz w:val="32"/>
          <w:szCs w:val="32"/>
          <w:lang w:eastAsia="zh-CN"/>
        </w:rPr>
        <w:t>比重）</w:t>
      </w:r>
      <w:r>
        <w:rPr>
          <w:rFonts w:hint="eastAsia" w:ascii="Times New Roman" w:hAnsi="Times New Roman" w:eastAsia="仿宋_GB2312"/>
          <w:color w:val="auto"/>
          <w:sz w:val="32"/>
          <w:szCs w:val="32"/>
        </w:rPr>
        <w:t>。货物采购授予中小企业合同金额占货物支出金额的</w:t>
      </w:r>
      <w:r>
        <w:rPr>
          <w:rFonts w:hint="eastAsia" w:ascii="Times New Roman" w:hAnsi="Times New Roman" w:eastAsia="仿宋_GB2312"/>
          <w:color w:val="auto"/>
          <w:sz w:val="32"/>
          <w:szCs w:val="32"/>
          <w:lang w:eastAsia="zh-CN"/>
        </w:rPr>
        <w:t>比重</w:t>
      </w:r>
      <w:r>
        <w:rPr>
          <w:rFonts w:hint="eastAsia" w:ascii="Times New Roman" w:hAnsi="Times New Roman" w:eastAsia="仿宋_GB2312"/>
          <w:color w:val="auto"/>
          <w:sz w:val="32"/>
          <w:szCs w:val="32"/>
        </w:rPr>
        <w:t>，工程采购授予中小企业合同金额占工程支出金额的</w:t>
      </w:r>
      <w:r>
        <w:rPr>
          <w:rFonts w:hint="eastAsia" w:ascii="Times New Roman" w:hAnsi="Times New Roman" w:eastAsia="仿宋_GB2312"/>
          <w:color w:val="auto"/>
          <w:sz w:val="32"/>
          <w:szCs w:val="32"/>
          <w:lang w:eastAsia="zh-CN"/>
        </w:rPr>
        <w:t>比重</w:t>
      </w:r>
      <w:r>
        <w:rPr>
          <w:rFonts w:hint="eastAsia" w:ascii="Times New Roman" w:hAnsi="Times New Roman" w:eastAsia="仿宋_GB2312"/>
          <w:color w:val="auto"/>
          <w:sz w:val="32"/>
          <w:szCs w:val="32"/>
        </w:rPr>
        <w:t>，服务采购授予中小企业合同金额占服务支出金额的</w:t>
      </w:r>
      <w:r>
        <w:rPr>
          <w:rFonts w:hint="eastAsia" w:ascii="Times New Roman" w:hAnsi="Times New Roman" w:eastAsia="仿宋_GB2312"/>
          <w:color w:val="auto"/>
          <w:sz w:val="32"/>
          <w:szCs w:val="32"/>
          <w:lang w:eastAsia="zh-CN"/>
        </w:rPr>
        <w:t>比重，由于以上各项合同金额为</w:t>
      </w:r>
      <w:r>
        <w:rPr>
          <w:rFonts w:hint="eastAsia" w:ascii="Times New Roman" w:hAnsi="Times New Roman" w:eastAsia="仿宋_GB2312"/>
          <w:color w:val="auto"/>
          <w:sz w:val="32"/>
          <w:szCs w:val="32"/>
          <w:lang w:val="en-US" w:eastAsia="zh-CN"/>
        </w:rPr>
        <w:t>0，故无法计算各项占比</w:t>
      </w:r>
      <w:r>
        <w:rPr>
          <w:rFonts w:hint="eastAsia" w:ascii="Times New Roman" w:hAnsi="Times New Roman" w:eastAsia="仿宋_GB2312"/>
          <w:color w:val="auto"/>
          <w:sz w:val="32"/>
          <w:szCs w:val="32"/>
        </w:rPr>
        <w:t>。</w:t>
      </w:r>
    </w:p>
    <w:p w14:paraId="246A0DF6">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w:t>
      </w:r>
      <w:r>
        <w:rPr>
          <w:rFonts w:hint="eastAsia" w:hAnsi="黑体" w:cs="黑体"/>
          <w:b w:val="0"/>
          <w:bCs/>
          <w:color w:val="auto"/>
          <w:sz w:val="32"/>
          <w:szCs w:val="32"/>
          <w:lang w:eastAsia="zh-CN"/>
        </w:rPr>
        <w:t>三</w:t>
      </w:r>
      <w:r>
        <w:rPr>
          <w:rFonts w:hint="eastAsia" w:ascii="黑体" w:hAnsi="黑体" w:eastAsia="黑体" w:cs="黑体"/>
          <w:b w:val="0"/>
          <w:bCs/>
          <w:color w:val="auto"/>
          <w:sz w:val="32"/>
          <w:szCs w:val="32"/>
        </w:rPr>
        <w:t>、关于国有资产占用情况说明</w:t>
      </w:r>
    </w:p>
    <w:p w14:paraId="0044E386">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仿宋_GB2312" w:hAnsi="仿宋_GB2312" w:eastAsia="仿宋_GB2312" w:cs="仿宋_GB2312"/>
          <w:color w:val="auto"/>
          <w:sz w:val="32"/>
          <w:szCs w:val="32"/>
        </w:rPr>
        <w:t>截至202</w:t>
      </w: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rPr>
        <w:t>年12月31日，</w:t>
      </w:r>
      <w:r>
        <w:rPr>
          <w:rFonts w:hint="eastAsia" w:ascii="仿宋_GB2312" w:hAnsi="仿宋_GB2312" w:eastAsia="仿宋_GB2312" w:cs="仿宋_GB2312"/>
          <w:color w:val="auto"/>
          <w:sz w:val="32"/>
          <w:szCs w:val="32"/>
          <w:lang w:eastAsia="zh-CN"/>
        </w:rPr>
        <w:t>部门（单位）</w:t>
      </w:r>
      <w:r>
        <w:rPr>
          <w:rFonts w:hint="eastAsia" w:ascii="仿宋_GB2312" w:hAnsi="仿宋_GB2312" w:eastAsia="仿宋_GB2312" w:cs="仿宋_GB2312"/>
          <w:color w:val="auto"/>
          <w:sz w:val="32"/>
          <w:szCs w:val="32"/>
        </w:rPr>
        <w:t>共有车辆</w:t>
      </w: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rPr>
        <w:t>辆，其中</w:t>
      </w:r>
      <w:r>
        <w:rPr>
          <w:rFonts w:hint="eastAsia" w:ascii="仿宋_GB2312" w:hAnsi="仿宋_GB2312" w:eastAsia="仿宋_GB2312" w:cs="仿宋_GB2312"/>
          <w:color w:val="auto"/>
          <w:sz w:val="32"/>
          <w:szCs w:val="32"/>
          <w:lang w:eastAsia="zh-CN"/>
        </w:rPr>
        <w:t>，副部（省）级及以上领导用车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主要</w:t>
      </w:r>
      <w:r>
        <w:rPr>
          <w:rFonts w:hint="eastAsia" w:ascii="仿宋_GB2312" w:hAnsi="仿宋_GB2312" w:eastAsia="仿宋_GB2312" w:cs="仿宋_GB2312"/>
          <w:color w:val="auto"/>
          <w:sz w:val="32"/>
          <w:szCs w:val="32"/>
          <w:lang w:eastAsia="zh-CN"/>
        </w:rPr>
        <w:t>负责人</w:t>
      </w:r>
      <w:r>
        <w:rPr>
          <w:rFonts w:hint="eastAsia" w:ascii="仿宋_GB2312" w:hAnsi="仿宋_GB2312" w:eastAsia="仿宋_GB2312" w:cs="仿宋_GB2312"/>
          <w:color w:val="auto"/>
          <w:sz w:val="32"/>
          <w:szCs w:val="32"/>
        </w:rPr>
        <w:t>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机要通信用车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辆、应急保障用车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辆、执法执勤用车</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辆、特种专业技术用车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w:t>
      </w:r>
      <w:r>
        <w:rPr>
          <w:rFonts w:hint="eastAsia" w:ascii="仿宋_GB2312" w:hAnsi="仿宋_GB2312" w:eastAsia="仿宋_GB2312" w:cs="仿宋_GB2312"/>
          <w:color w:val="auto"/>
          <w:sz w:val="32"/>
          <w:szCs w:val="32"/>
          <w:lang w:eastAsia="zh-CN"/>
        </w:rPr>
        <w:t>离退休干部服务用车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辆、其他用车</w:t>
      </w: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rPr>
        <w:t>辆，其他用车主要是</w:t>
      </w:r>
      <w:r>
        <w:rPr>
          <w:rFonts w:hint="eastAsia" w:ascii="仿宋_GB2312" w:hAnsi="仿宋_GB2312" w:eastAsia="仿宋_GB2312" w:cs="仿宋_GB2312"/>
          <w:color w:val="auto"/>
          <w:sz w:val="32"/>
          <w:szCs w:val="32"/>
          <w:lang w:eastAsia="zh-CN"/>
        </w:rPr>
        <w:t>业务用车</w:t>
      </w:r>
      <w:r>
        <w:rPr>
          <w:rFonts w:hint="eastAsia" w:ascii="仿宋_GB2312" w:hAnsi="仿宋_GB2312" w:eastAsia="仿宋_GB2312" w:cs="仿宋_GB2312"/>
          <w:color w:val="auto"/>
          <w:sz w:val="32"/>
          <w:szCs w:val="32"/>
        </w:rPr>
        <w:t>；单位价值100万元以上设备</w:t>
      </w:r>
      <w:r>
        <w:rPr>
          <w:rFonts w:hint="eastAsia" w:ascii="仿宋_GB2312" w:hAnsi="仿宋_GB2312" w:eastAsia="仿宋_GB2312" w:cs="仿宋_GB2312"/>
          <w:color w:val="auto"/>
          <w:sz w:val="32"/>
          <w:szCs w:val="32"/>
          <w:lang w:eastAsia="zh-CN"/>
        </w:rPr>
        <w:t>（不含车辆）</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台（套）。</w:t>
      </w:r>
    </w:p>
    <w:p w14:paraId="0A8224AC">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highlight w:val="none"/>
        </w:rPr>
      </w:pPr>
      <w:r>
        <w:rPr>
          <w:rFonts w:hint="eastAsia" w:ascii="黑体" w:hAnsi="黑体" w:eastAsia="黑体" w:cs="黑体"/>
          <w:b w:val="0"/>
          <w:bCs/>
          <w:color w:val="auto"/>
          <w:sz w:val="32"/>
          <w:szCs w:val="32"/>
          <w:highlight w:val="none"/>
        </w:rPr>
        <w:t>十</w:t>
      </w:r>
      <w:r>
        <w:rPr>
          <w:rFonts w:hint="eastAsia" w:hAnsi="黑体" w:cs="黑体"/>
          <w:b w:val="0"/>
          <w:bCs/>
          <w:color w:val="auto"/>
          <w:sz w:val="32"/>
          <w:szCs w:val="32"/>
          <w:highlight w:val="none"/>
          <w:lang w:eastAsia="zh-CN"/>
        </w:rPr>
        <w:t>四</w:t>
      </w:r>
      <w:r>
        <w:rPr>
          <w:rFonts w:hint="eastAsia" w:ascii="黑体" w:hAnsi="黑体" w:eastAsia="黑体" w:cs="黑体"/>
          <w:b w:val="0"/>
          <w:bCs/>
          <w:color w:val="auto"/>
          <w:sz w:val="32"/>
          <w:szCs w:val="32"/>
          <w:highlight w:val="none"/>
        </w:rPr>
        <w:t>、关于</w:t>
      </w:r>
      <w:r>
        <w:rPr>
          <w:rFonts w:hint="eastAsia" w:ascii="Times New Roman" w:hAnsi="Times New Roman" w:eastAsia="仿宋_GB2312"/>
          <w:color w:val="auto"/>
          <w:sz w:val="32"/>
          <w:szCs w:val="32"/>
          <w:highlight w:val="none"/>
        </w:rPr>
        <w:t>202</w:t>
      </w:r>
      <w:r>
        <w:rPr>
          <w:rFonts w:hint="eastAsia" w:ascii="Times New Roman" w:hAnsi="Times New Roman" w:eastAsia="仿宋_GB2312"/>
          <w:color w:val="auto"/>
          <w:sz w:val="32"/>
          <w:szCs w:val="32"/>
          <w:highlight w:val="none"/>
          <w:lang w:val="en-US" w:eastAsia="zh-CN"/>
        </w:rPr>
        <w:t>4</w:t>
      </w:r>
      <w:r>
        <w:rPr>
          <w:rFonts w:hint="eastAsia" w:ascii="黑体" w:hAnsi="黑体" w:eastAsia="黑体" w:cs="黑体"/>
          <w:b w:val="0"/>
          <w:bCs/>
          <w:color w:val="auto"/>
          <w:sz w:val="32"/>
          <w:szCs w:val="32"/>
          <w:highlight w:val="none"/>
        </w:rPr>
        <w:t>年度</w:t>
      </w:r>
      <w:r>
        <w:rPr>
          <w:rFonts w:hint="eastAsia" w:hAnsi="黑体" w:cs="黑体"/>
          <w:b w:val="0"/>
          <w:bCs/>
          <w:color w:val="auto"/>
          <w:sz w:val="32"/>
          <w:szCs w:val="32"/>
          <w:highlight w:val="none"/>
          <w:lang w:eastAsia="zh-CN"/>
        </w:rPr>
        <w:t>预算</w:t>
      </w:r>
      <w:r>
        <w:rPr>
          <w:rFonts w:hint="eastAsia" w:ascii="黑体" w:hAnsi="黑体" w:eastAsia="黑体" w:cs="黑体"/>
          <w:b w:val="0"/>
          <w:bCs/>
          <w:color w:val="auto"/>
          <w:sz w:val="32"/>
          <w:szCs w:val="32"/>
          <w:highlight w:val="none"/>
        </w:rPr>
        <w:t>绩效</w:t>
      </w:r>
      <w:r>
        <w:rPr>
          <w:rFonts w:hint="eastAsia" w:hAnsi="黑体" w:cs="黑体"/>
          <w:b w:val="0"/>
          <w:bCs/>
          <w:color w:val="auto"/>
          <w:sz w:val="32"/>
          <w:szCs w:val="32"/>
          <w:highlight w:val="none"/>
          <w:lang w:eastAsia="zh-CN"/>
        </w:rPr>
        <w:t>管理</w:t>
      </w:r>
      <w:r>
        <w:rPr>
          <w:rFonts w:hint="eastAsia" w:ascii="黑体" w:hAnsi="黑体" w:eastAsia="黑体" w:cs="黑体"/>
          <w:b w:val="0"/>
          <w:bCs/>
          <w:color w:val="auto"/>
          <w:sz w:val="32"/>
          <w:szCs w:val="32"/>
          <w:highlight w:val="none"/>
        </w:rPr>
        <w:t>情况的说明</w:t>
      </w:r>
    </w:p>
    <w:p w14:paraId="0EB60D67">
      <w:pPr>
        <w:overflowPunct w:val="0"/>
        <w:spacing w:line="600" w:lineRule="exact"/>
        <w:ind w:firstLine="640"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（一）绩效评价工作开展情况</w:t>
      </w:r>
    </w:p>
    <w:p w14:paraId="19AB55E3">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根据预算绩效管理要求，我们组织对2024年度整体支出和项目资金实施了全覆盖性的绩效评价，撰写了绩效自评报告。</w:t>
      </w:r>
    </w:p>
    <w:p w14:paraId="67818CBE">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组织开展整体支出绩效评价，涉及一般公共预算支出3242.41万元，政府性基金预算支出0万元，国有资本经营预算支出12万元。从评价情况来看，整体支出绩效评价中，2024年整体支出3284.51万元，其中：基本支出2062.51万元，项目支出1222万元，本单位整体支出绩效自评综合评分99分，评价结果等次为优。</w:t>
      </w:r>
    </w:p>
    <w:p w14:paraId="2CA2E02B">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组织对一般公共预算项目支出全面开展绩效自评，项目5个，共涉及资金469.55万元，占一般公共预算项目支出总额的38.42%。组织对政府性基金预算项目支出开展绩效自评，项目0个，共涉及资金0万元（因政府性基金预算项目支出总额为0，无法计算百分比）。组织对国有资本经营预算项目支出开展绩效自评，项目0个，共涉及资金0万元（因国有资本经营预算项目支出总额为0，无法计算百分比）。从评价情况来看，项目绩效自评得分99分，评价结果等次为优。</w:t>
      </w:r>
    </w:p>
    <w:p w14:paraId="21A9A09B">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楷体_GB2312" w:cs="Times New Roman"/>
          <w:b/>
          <w:bCs/>
          <w:kern w:val="2"/>
          <w:sz w:val="32"/>
          <w:szCs w:val="32"/>
          <w:lang w:val="en-US" w:eastAsia="zh-CN" w:bidi="ar-SA"/>
        </w:rPr>
        <w:t>(二)部门决算中绩效自评结果情况。</w:t>
      </w:r>
      <w:r>
        <w:rPr>
          <w:rFonts w:hint="eastAsia" w:ascii="Times New Roman" w:hAnsi="Times New Roman" w:eastAsia="仿宋_GB2312" w:cs="黑体"/>
          <w:color w:val="000000"/>
          <w:kern w:val="0"/>
          <w:sz w:val="32"/>
          <w:szCs w:val="32"/>
          <w:lang w:val="en-US" w:eastAsia="zh-CN" w:bidi="ar-SA"/>
        </w:rPr>
        <w:t xml:space="preserve"> </w:t>
      </w:r>
    </w:p>
    <w:p w14:paraId="68B0D5D5">
      <w:pPr>
        <w:widowControl/>
        <w:kinsoku w:val="0"/>
        <w:autoSpaceDE w:val="0"/>
        <w:autoSpaceDN w:val="0"/>
        <w:adjustRightInd w:val="0"/>
        <w:snapToGrid w:val="0"/>
        <w:spacing w:before="120" w:beforeLines="50" w:line="396" w:lineRule="auto"/>
        <w:ind w:left="14" w:leftChars="7" w:right="11" w:firstLine="640" w:firstLineChars="200"/>
        <w:jc w:val="left"/>
        <w:textAlignment w:val="baseline"/>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根据年初设定的绩效目标，绩效自评得分为99分。全年预算数为2211.66万元，执行数为3284.51万元，完成预算的148.51%。绩效目标完成情况：</w:t>
      </w:r>
      <w:r>
        <w:rPr>
          <w:rFonts w:hint="eastAsia" w:ascii="Times New Roman" w:hAnsi="Times New Roman" w:eastAsia="仿宋_GB2312" w:cs="Times New Roman"/>
          <w:b w:val="0"/>
          <w:bCs w:val="0"/>
          <w:kern w:val="2"/>
          <w:sz w:val="32"/>
          <w:szCs w:val="32"/>
          <w:lang w:val="en-US" w:eastAsia="zh-CN" w:bidi="ar-SA"/>
        </w:rPr>
        <w:t>一是健全研究性审计新机制。</w:t>
      </w:r>
      <w:r>
        <w:rPr>
          <w:rFonts w:hint="eastAsia" w:ascii="Times New Roman" w:hAnsi="Times New Roman" w:eastAsia="仿宋_GB2312" w:cs="Times New Roman"/>
          <w:kern w:val="2"/>
          <w:sz w:val="32"/>
          <w:szCs w:val="32"/>
          <w:lang w:val="en-US" w:eastAsia="zh-CN" w:bidi="ar-SA"/>
        </w:rPr>
        <w:t>把研究贯穿于审计全过程、落实到各环节，把立项当课题研究，谋划年度审计项目，紧扣社会主义现代化“七个岳阳”建设，安排7个板块68个审计项目</w:t>
      </w:r>
      <w:r>
        <w:rPr>
          <w:rFonts w:hint="eastAsia" w:ascii="Times New Roman" w:hAnsi="Times New Roman" w:eastAsia="仿宋_GB2312" w:cs="Times New Roman"/>
          <w:b w:val="0"/>
          <w:bCs w:val="0"/>
          <w:kern w:val="2"/>
          <w:sz w:val="32"/>
          <w:szCs w:val="32"/>
          <w:lang w:val="en-US" w:eastAsia="zh-CN" w:bidi="ar-SA"/>
        </w:rPr>
        <w:t>。二是完善质量型审计新模式。</w:t>
      </w:r>
      <w:r>
        <w:rPr>
          <w:rFonts w:hint="eastAsia" w:ascii="Times New Roman" w:hAnsi="Times New Roman" w:eastAsia="仿宋_GB2312" w:cs="Times New Roman"/>
          <w:kern w:val="2"/>
          <w:sz w:val="32"/>
          <w:szCs w:val="32"/>
          <w:lang w:val="en-US" w:eastAsia="zh-CN" w:bidi="ar-SA"/>
        </w:rPr>
        <w:t>将审计质量“生命线”贯穿工作始终，制定出台《审计项目培优管理实施意见》等30余项制度，开展审计业务质量检查、审计业务案例技能竞赛等活动，审计质量持续提升。</w:t>
      </w:r>
      <w:r>
        <w:rPr>
          <w:rFonts w:hint="eastAsia" w:ascii="Times New Roman" w:hAnsi="Times New Roman" w:eastAsia="仿宋_GB2312" w:cs="Times New Roman"/>
          <w:b w:val="0"/>
          <w:bCs w:val="0"/>
          <w:kern w:val="2"/>
          <w:sz w:val="32"/>
          <w:szCs w:val="32"/>
          <w:lang w:val="en-US" w:eastAsia="zh-CN" w:bidi="ar-SA"/>
        </w:rPr>
        <w:t>三是打造智慧型审计新平台。</w:t>
      </w:r>
      <w:r>
        <w:rPr>
          <w:rFonts w:hint="eastAsia" w:ascii="Times New Roman" w:hAnsi="Times New Roman" w:eastAsia="仿宋_GB2312" w:cs="Times New Roman"/>
          <w:kern w:val="2"/>
          <w:sz w:val="32"/>
          <w:szCs w:val="32"/>
          <w:lang w:val="en-US" w:eastAsia="zh-CN" w:bidi="ar-SA"/>
        </w:rPr>
        <w:t>组建大数据分析团队，构建了129个审计方法模型，率先推行“金审三期”建设，推行“业务+数据”双主审模式。</w:t>
      </w:r>
      <w:r>
        <w:rPr>
          <w:rFonts w:hint="default" w:ascii="Times New Roman" w:hAnsi="Times New Roman" w:eastAsia="仿宋_GB2312" w:cs="Times New Roman"/>
          <w:b w:val="0"/>
          <w:bCs w:val="0"/>
          <w:kern w:val="2"/>
          <w:sz w:val="32"/>
          <w:szCs w:val="32"/>
          <w:lang w:val="en-US" w:eastAsia="zh-CN" w:bidi="ar-SA"/>
        </w:rPr>
        <w:t>四是构建协同型审计新局面。</w:t>
      </w:r>
      <w:r>
        <w:rPr>
          <w:rFonts w:hint="eastAsia" w:ascii="Times New Roman" w:hAnsi="Times New Roman" w:eastAsia="仿宋_GB2312" w:cs="Times New Roman"/>
          <w:kern w:val="2"/>
          <w:sz w:val="32"/>
          <w:szCs w:val="32"/>
          <w:lang w:val="en-US" w:eastAsia="zh-CN" w:bidi="ar-SA"/>
        </w:rPr>
        <w:t>推动审计监督与其他各类监督贯通协同，打好审计整改“组合拳”，建立了上级审计机关查出问题向市委审计办备案制度。市纪委监委将审计整改工作纳入重点监督检查范围。</w:t>
      </w:r>
    </w:p>
    <w:p w14:paraId="7F5737CD">
      <w:pPr>
        <w:widowControl/>
        <w:kinsoku w:val="0"/>
        <w:autoSpaceDE w:val="0"/>
        <w:autoSpaceDN w:val="0"/>
        <w:adjustRightInd w:val="0"/>
        <w:snapToGrid w:val="0"/>
        <w:spacing w:before="120" w:beforeLines="50" w:line="396" w:lineRule="auto"/>
        <w:ind w:left="14" w:leftChars="7" w:right="11" w:firstLine="640" w:firstLineChars="200"/>
        <w:jc w:val="left"/>
        <w:textAlignment w:val="baseline"/>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发现的主要问题及原因：一是预算编制以及预算执行不合理。预算编制与实际支出存在不小的差异，预算内经费不足，难以满足机关运转需要。二是固定资产管理有待加强。</w:t>
      </w:r>
    </w:p>
    <w:p w14:paraId="18240BD8">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下一步改进措施：一是按照预算规定的项目和用途严格财务审核，经费支出严格按预算规定项目的财务支出内容进行财务核算，在预算金额内严格控制费用的支出。二是预算财务分析常态化，定期做好预算支出财务分析，做好单位整体支出预算评价工作。三是制度适用本局的固定资产管理制度，从资产采购、使用以及报废各环节规范固定资产的管理，提高固定资产使用效率，减少资金浪费。</w:t>
      </w:r>
    </w:p>
    <w:p w14:paraId="4BE14266">
      <w:pPr>
        <w:keepNext w:val="0"/>
        <w:keepLines w:val="0"/>
        <w:pageBreakBefore w:val="0"/>
        <w:widowControl w:val="0"/>
        <w:numPr>
          <w:ilvl w:val="0"/>
          <w:numId w:val="0"/>
        </w:numPr>
        <w:kinsoku/>
        <w:wordWrap/>
        <w:overflowPunct/>
        <w:topLinePunct w:val="0"/>
        <w:autoSpaceDE w:val="0"/>
        <w:autoSpaceDN w:val="0"/>
        <w:bidi w:val="0"/>
        <w:adjustRightInd w:val="0"/>
        <w:snapToGrid/>
        <w:spacing w:line="600" w:lineRule="exact"/>
        <w:ind w:leftChars="200" w:firstLine="320" w:firstLineChars="100"/>
        <w:jc w:val="left"/>
        <w:textAlignment w:val="auto"/>
        <w:rPr>
          <w:rFonts w:hint="eastAsia" w:ascii="Times New Roman" w:hAnsi="Times New Roman" w:eastAsia="楷体_GB2312" w:cs="Times New Roman"/>
          <w:b/>
          <w:bCs/>
          <w:kern w:val="2"/>
          <w:sz w:val="32"/>
          <w:szCs w:val="32"/>
          <w:lang w:val="en-US" w:eastAsia="zh-CN" w:bidi="ar-SA"/>
        </w:rPr>
      </w:pPr>
      <w:r>
        <w:rPr>
          <w:rFonts w:hint="eastAsia" w:ascii="Times New Roman" w:hAnsi="Times New Roman" w:eastAsia="楷体_GB2312" w:cs="Times New Roman"/>
          <w:b/>
          <w:bCs/>
          <w:kern w:val="2"/>
          <w:sz w:val="32"/>
          <w:szCs w:val="32"/>
          <w:lang w:val="en-US" w:eastAsia="zh-CN" w:bidi="ar-SA"/>
        </w:rPr>
        <w:t>（三）部门评价项目绩效评价结果。</w:t>
      </w:r>
    </w:p>
    <w:p w14:paraId="4F5E377B">
      <w:pPr>
        <w:autoSpaceDE w:val="0"/>
        <w:autoSpaceDN w:val="0"/>
        <w:adjustRightInd w:val="0"/>
        <w:ind w:firstLine="640" w:firstLineChars="200"/>
        <w:jc w:val="left"/>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预算绩效管理开展情况、绩效目标和绩效评价报告等，已在市政府部门财政预决算公开平台上向社会公开。</w:t>
      </w:r>
    </w:p>
    <w:p w14:paraId="7FBB8355">
      <w:pPr>
        <w:autoSpaceDE w:val="0"/>
        <w:autoSpaceDN w:val="0"/>
        <w:adjustRightInd w:val="0"/>
        <w:ind w:firstLine="640" w:firstLineChars="200"/>
        <w:jc w:val="left"/>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详见附件。</w:t>
      </w:r>
    </w:p>
    <w:p w14:paraId="3409AE7F">
      <w:pPr>
        <w:autoSpaceDE w:val="0"/>
        <w:autoSpaceDN w:val="0"/>
        <w:adjustRightInd w:val="0"/>
        <w:ind w:firstLine="640" w:firstLineChars="200"/>
        <w:jc w:val="left"/>
        <w:rPr>
          <w:rFonts w:hint="eastAsia" w:ascii="仿宋_GB2312" w:hAnsi="仿宋_GB2312" w:eastAsia="仿宋_GB2312" w:cs="仿宋_GB2312"/>
          <w:b w:val="0"/>
          <w:bCs w:val="0"/>
          <w:sz w:val="32"/>
          <w:szCs w:val="32"/>
          <w:lang w:val="en-US" w:eastAsia="zh-CN"/>
        </w:rPr>
      </w:pPr>
    </w:p>
    <w:p w14:paraId="62BEA247">
      <w:pPr>
        <w:pStyle w:val="7"/>
        <w:rPr>
          <w:rFonts w:hint="eastAsia"/>
          <w:lang w:val="en-US" w:eastAsia="zh-CN"/>
        </w:rPr>
      </w:pPr>
    </w:p>
    <w:p w14:paraId="47586AB8">
      <w:pPr>
        <w:numPr>
          <w:ilvl w:val="0"/>
          <w:numId w:val="0"/>
        </w:numPr>
        <w:autoSpaceDE w:val="0"/>
        <w:autoSpaceDN w:val="0"/>
        <w:adjustRightInd w:val="0"/>
        <w:jc w:val="left"/>
        <w:rPr>
          <w:rFonts w:hint="eastAsia" w:ascii="楷体" w:hAnsi="楷体" w:eastAsia="楷体" w:cs="楷体"/>
          <w:b/>
          <w:bCs/>
          <w:i w:val="0"/>
          <w:iCs w:val="0"/>
          <w:color w:val="FF0000"/>
          <w:kern w:val="0"/>
          <w:sz w:val="36"/>
          <w:szCs w:val="36"/>
          <w:lang w:val="en-US" w:eastAsia="zh-CN"/>
        </w:rPr>
      </w:pPr>
    </w:p>
    <w:p w14:paraId="147E06D0">
      <w:pPr>
        <w:pStyle w:val="12"/>
        <w:jc w:val="both"/>
        <w:rPr>
          <w:rFonts w:hint="eastAsia" w:ascii="方正小标宋_GBK" w:hAnsi="方正小标宋_GBK" w:eastAsia="方正小标宋_GBK" w:cs="方正小标宋_GBK"/>
          <w:sz w:val="24"/>
          <w:szCs w:val="24"/>
        </w:rPr>
      </w:pPr>
    </w:p>
    <w:p w14:paraId="6047EDE9">
      <w:pPr>
        <w:pStyle w:val="12"/>
        <w:jc w:val="both"/>
        <w:rPr>
          <w:rFonts w:hint="eastAsia" w:ascii="方正小标宋_GBK" w:hAnsi="方正小标宋_GBK" w:eastAsia="方正小标宋_GBK" w:cs="方正小标宋_GBK"/>
          <w:sz w:val="24"/>
          <w:szCs w:val="24"/>
        </w:rPr>
      </w:pPr>
    </w:p>
    <w:p w14:paraId="6F2DC8B4">
      <w:pPr>
        <w:pStyle w:val="12"/>
        <w:jc w:val="both"/>
        <w:rPr>
          <w:rFonts w:hint="eastAsia" w:ascii="方正小标宋_GBK" w:hAnsi="方正小标宋_GBK" w:eastAsia="方正小标宋_GBK" w:cs="方正小标宋_GBK"/>
          <w:sz w:val="24"/>
          <w:szCs w:val="24"/>
        </w:rPr>
      </w:pPr>
    </w:p>
    <w:p w14:paraId="313B6B42">
      <w:pPr>
        <w:pStyle w:val="12"/>
        <w:jc w:val="both"/>
        <w:rPr>
          <w:rFonts w:hint="eastAsia" w:ascii="方正小标宋_GBK" w:hAnsi="方正小标宋_GBK" w:eastAsia="方正小标宋_GBK" w:cs="方正小标宋_GBK"/>
          <w:sz w:val="24"/>
          <w:szCs w:val="24"/>
        </w:rPr>
      </w:pPr>
    </w:p>
    <w:p w14:paraId="71096B5A">
      <w:pPr>
        <w:pStyle w:val="12"/>
        <w:jc w:val="both"/>
        <w:rPr>
          <w:rFonts w:hint="eastAsia" w:ascii="方正小标宋_GBK" w:hAnsi="方正小标宋_GBK" w:eastAsia="方正小标宋_GBK" w:cs="方正小标宋_GBK"/>
          <w:sz w:val="24"/>
          <w:szCs w:val="24"/>
        </w:rPr>
      </w:pPr>
    </w:p>
    <w:p w14:paraId="2D945646">
      <w:pPr>
        <w:pStyle w:val="12"/>
        <w:jc w:val="both"/>
        <w:rPr>
          <w:rFonts w:hint="eastAsia" w:ascii="方正小标宋_GBK" w:hAnsi="方正小标宋_GBK" w:eastAsia="方正小标宋_GBK" w:cs="方正小标宋_GBK"/>
          <w:sz w:val="24"/>
          <w:szCs w:val="24"/>
        </w:rPr>
      </w:pPr>
    </w:p>
    <w:p w14:paraId="1B0F7DE4">
      <w:pPr>
        <w:pStyle w:val="12"/>
        <w:jc w:val="both"/>
        <w:rPr>
          <w:rFonts w:hint="eastAsia" w:ascii="方正小标宋_GBK" w:hAnsi="方正小标宋_GBK" w:eastAsia="方正小标宋_GBK" w:cs="方正小标宋_GBK"/>
          <w:sz w:val="24"/>
          <w:szCs w:val="24"/>
        </w:rPr>
      </w:pPr>
    </w:p>
    <w:p w14:paraId="6C8BC690">
      <w:pPr>
        <w:pStyle w:val="12"/>
        <w:jc w:val="both"/>
        <w:rPr>
          <w:rFonts w:hint="eastAsia" w:ascii="方正小标宋_GBK" w:hAnsi="方正小标宋_GBK" w:eastAsia="方正小标宋_GBK" w:cs="方正小标宋_GBK"/>
          <w:sz w:val="24"/>
          <w:szCs w:val="24"/>
        </w:rPr>
      </w:pPr>
    </w:p>
    <w:p w14:paraId="181D6C11">
      <w:pPr>
        <w:pStyle w:val="12"/>
        <w:jc w:val="both"/>
        <w:rPr>
          <w:rFonts w:hint="eastAsia" w:ascii="方正小标宋_GBK" w:hAnsi="方正小标宋_GBK" w:eastAsia="方正小标宋_GBK" w:cs="方正小标宋_GBK"/>
          <w:sz w:val="24"/>
          <w:szCs w:val="24"/>
        </w:rPr>
      </w:pPr>
    </w:p>
    <w:p w14:paraId="3D83FDA1">
      <w:pPr>
        <w:pStyle w:val="12"/>
        <w:jc w:val="center"/>
        <w:rPr>
          <w:rFonts w:hint="eastAsia" w:ascii="方正小标宋_GBK" w:hAnsi="方正小标宋_GBK" w:eastAsia="方正小标宋_GBK" w:cs="方正小标宋_GBK"/>
          <w:sz w:val="72"/>
          <w:szCs w:val="72"/>
        </w:rPr>
      </w:pPr>
    </w:p>
    <w:p w14:paraId="6FB6F211">
      <w:pPr>
        <w:pStyle w:val="12"/>
        <w:jc w:val="center"/>
        <w:rPr>
          <w:rFonts w:hint="eastAsia" w:ascii="方正小标宋_GBK" w:hAnsi="方正小标宋_GBK" w:eastAsia="方正小标宋_GBK" w:cs="方正小标宋_GBK"/>
          <w:sz w:val="72"/>
          <w:szCs w:val="72"/>
        </w:rPr>
      </w:pPr>
    </w:p>
    <w:p w14:paraId="3A01B6B0">
      <w:pPr>
        <w:pStyle w:val="12"/>
        <w:jc w:val="center"/>
        <w:rPr>
          <w:rFonts w:hint="eastAsia" w:ascii="方正小标宋_GBK" w:hAnsi="方正小标宋_GBK" w:eastAsia="方正小标宋_GBK" w:cs="方正小标宋_GBK"/>
          <w:sz w:val="72"/>
          <w:szCs w:val="72"/>
        </w:rPr>
      </w:pPr>
    </w:p>
    <w:p w14:paraId="475C1000">
      <w:pPr>
        <w:pStyle w:val="12"/>
        <w:jc w:val="center"/>
        <w:rPr>
          <w:rFonts w:hint="eastAsia" w:ascii="方正小标宋_GBK" w:hAnsi="方正小标宋_GBK" w:eastAsia="方正小标宋_GBK" w:cs="方正小标宋_GBK"/>
          <w:sz w:val="72"/>
          <w:szCs w:val="72"/>
        </w:rPr>
      </w:pPr>
    </w:p>
    <w:p w14:paraId="2DDD6447">
      <w:pPr>
        <w:pStyle w:val="12"/>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第四部分</w:t>
      </w:r>
    </w:p>
    <w:p w14:paraId="6D6AC354">
      <w:pPr>
        <w:pStyle w:val="12"/>
        <w:jc w:val="center"/>
        <w:rPr>
          <w:rFonts w:hint="eastAsia" w:ascii="方正小标宋_GBK" w:hAnsi="方正小标宋_GBK" w:eastAsia="方正小标宋_GBK" w:cs="方正小标宋_GBK"/>
          <w:sz w:val="72"/>
          <w:szCs w:val="72"/>
        </w:rPr>
      </w:pPr>
    </w:p>
    <w:p w14:paraId="41992F86">
      <w:pPr>
        <w:pStyle w:val="12"/>
        <w:jc w:val="center"/>
        <w:rPr>
          <w:rFonts w:hint="eastAsia" w:ascii="方正小标宋_GBK" w:hAnsi="方正小标宋_GBK" w:eastAsia="方正小标宋_GBK" w:cs="方正小标宋_GBK"/>
          <w:sz w:val="70"/>
          <w:szCs w:val="70"/>
          <w:lang w:eastAsia="zh-CN"/>
        </w:rPr>
      </w:pPr>
      <w:r>
        <w:rPr>
          <w:rFonts w:hint="eastAsia" w:ascii="方正小标宋_GBK" w:hAnsi="方正小标宋_GBK" w:eastAsia="方正小标宋_GBK" w:cs="方正小标宋_GBK"/>
          <w:color w:val="000000"/>
          <w:kern w:val="0"/>
          <w:sz w:val="70"/>
          <w:szCs w:val="70"/>
        </w:rPr>
        <w:t>名词解释</w:t>
      </w:r>
    </w:p>
    <w:p w14:paraId="571298D0">
      <w:pPr>
        <w:pStyle w:val="7"/>
      </w:pPr>
    </w:p>
    <w:p w14:paraId="5331F884">
      <w:pPr>
        <w:pStyle w:val="3"/>
      </w:pPr>
    </w:p>
    <w:p w14:paraId="2CCAD852"/>
    <w:p w14:paraId="440E89DF">
      <w:pPr>
        <w:pStyle w:val="7"/>
      </w:pPr>
    </w:p>
    <w:p w14:paraId="645B9B76">
      <w:pPr>
        <w:pStyle w:val="3"/>
      </w:pPr>
    </w:p>
    <w:p w14:paraId="539F25AC"/>
    <w:p w14:paraId="47AFAB8F">
      <w:pPr>
        <w:pStyle w:val="7"/>
      </w:pPr>
    </w:p>
    <w:p w14:paraId="479D6353">
      <w:pPr>
        <w:pStyle w:val="3"/>
      </w:pPr>
    </w:p>
    <w:p w14:paraId="648103ED"/>
    <w:p w14:paraId="08A5EA8F">
      <w:pPr>
        <w:pStyle w:val="7"/>
      </w:pPr>
    </w:p>
    <w:p w14:paraId="3FD0BAB6">
      <w:pPr>
        <w:pStyle w:val="3"/>
      </w:pPr>
    </w:p>
    <w:p w14:paraId="1CAE18D7"/>
    <w:p w14:paraId="5994BDDC">
      <w:pPr>
        <w:pStyle w:val="7"/>
      </w:pPr>
    </w:p>
    <w:p w14:paraId="51F60F8D">
      <w:pPr>
        <w:pStyle w:val="3"/>
      </w:pPr>
    </w:p>
    <w:p w14:paraId="715B8195"/>
    <w:p w14:paraId="3F608935">
      <w:pPr>
        <w:pStyle w:val="7"/>
      </w:pPr>
    </w:p>
    <w:p w14:paraId="274FE3C9">
      <w:pPr>
        <w:ind w:firstLine="640" w:firstLineChars="200"/>
        <w:jc w:val="left"/>
        <w:rPr>
          <w:rFonts w:hint="eastAsia" w:ascii="仿宋_GB2312" w:hAnsi="仿宋_GB2312" w:eastAsia="仿宋_GB2312" w:cs="仿宋_GB2312"/>
          <w:color w:val="000000"/>
          <w:kern w:val="0"/>
          <w:sz w:val="32"/>
          <w:szCs w:val="32"/>
        </w:rPr>
      </w:pPr>
    </w:p>
    <w:p w14:paraId="1741E604">
      <w:pPr>
        <w:ind w:firstLine="640" w:firstLineChars="200"/>
        <w:jc w:val="left"/>
        <w:rPr>
          <w:rFonts w:hint="eastAsia" w:ascii="仿宋_GB2312" w:hAnsi="仿宋_GB2312" w:eastAsia="仿宋_GB2312" w:cs="仿宋_GB2312"/>
          <w:color w:val="000000"/>
          <w:kern w:val="0"/>
          <w:sz w:val="32"/>
          <w:szCs w:val="32"/>
        </w:rPr>
      </w:pPr>
    </w:p>
    <w:p w14:paraId="02E59030">
      <w:pPr>
        <w:ind w:firstLine="640" w:firstLineChars="200"/>
        <w:jc w:val="left"/>
        <w:rPr>
          <w:rFonts w:hint="eastAsia" w:ascii="仿宋_GB2312" w:hAnsi="仿宋_GB2312" w:eastAsia="仿宋_GB2312" w:cs="仿宋_GB2312"/>
          <w:color w:val="000000"/>
          <w:kern w:val="0"/>
          <w:sz w:val="32"/>
          <w:szCs w:val="32"/>
        </w:rPr>
      </w:pPr>
    </w:p>
    <w:p w14:paraId="61CE71B9">
      <w:pPr>
        <w:pStyle w:val="7"/>
        <w:rPr>
          <w:rFonts w:hint="eastAsia"/>
        </w:rPr>
      </w:pPr>
    </w:p>
    <w:p w14:paraId="793F6BC2">
      <w:pPr>
        <w:ind w:firstLine="640" w:firstLineChars="200"/>
        <w:jc w:val="left"/>
        <w:rPr>
          <w:rFonts w:hint="eastAsia" w:ascii="仿宋_GB2312" w:hAnsi="仿宋_GB2312" w:eastAsia="仿宋_GB2312" w:cs="仿宋_GB2312"/>
          <w:color w:val="000000"/>
          <w:kern w:val="0"/>
          <w:sz w:val="32"/>
          <w:szCs w:val="32"/>
        </w:rPr>
      </w:pPr>
    </w:p>
    <w:p w14:paraId="21E49670">
      <w:pPr>
        <w:autoSpaceDE w:val="0"/>
        <w:autoSpaceDN w:val="0"/>
        <w:adjustRightInd w:val="0"/>
        <w:ind w:firstLine="640" w:firstLineChars="200"/>
        <w:jc w:val="left"/>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一、“三公”经费：指用财政拨款安排的因公出国（境）费、公务用车购置及运行费和公务接待费。其中，因公出国（境）费反映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4588BDB6">
      <w:pPr>
        <w:autoSpaceDE w:val="0"/>
        <w:autoSpaceDN w:val="0"/>
        <w:adjustRightInd w:val="0"/>
        <w:ind w:firstLine="640" w:firstLineChars="200"/>
        <w:jc w:val="left"/>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二、机关运行经费，指为保障行政单位（包括参照公务员法管理的事业单位）运行用于购买货物和服务的各项资金，包括办公费、印刷费、邮电费、差旅费、会议费、日常维修费、专用材料及一般设备购置费、办公用房水电费、办公用房取暖费、办公用房物业管理费、公务用车运行维护费以及其他费用。</w:t>
      </w:r>
    </w:p>
    <w:p w14:paraId="3328164A">
      <w:pPr>
        <w:autoSpaceDE w:val="0"/>
        <w:autoSpaceDN w:val="0"/>
        <w:adjustRightInd w:val="0"/>
        <w:ind w:firstLine="640" w:firstLineChars="200"/>
        <w:jc w:val="left"/>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三、一般公共服务支出（类）审计事务（款）：反映政府审计方面的支出。其中一般公共服务支出（类）审计事务（款）审计业务（项），反映各级审计机构的审计、专项审计调查、聘请社会审计组织人员及技术专家等方面的支出。</w:t>
      </w:r>
    </w:p>
    <w:p w14:paraId="2AE81CE8">
      <w:pPr>
        <w:pStyle w:val="12"/>
        <w:jc w:val="center"/>
        <w:rPr>
          <w:rFonts w:hint="eastAsia" w:ascii="仿宋_GB2312" w:hAnsi="仿宋_GB2312" w:eastAsia="仿宋_GB2312" w:cs="仿宋_GB2312"/>
          <w:sz w:val="32"/>
          <w:szCs w:val="32"/>
        </w:rPr>
      </w:pPr>
    </w:p>
    <w:p w14:paraId="7E495CC4">
      <w:pPr>
        <w:pStyle w:val="12"/>
        <w:jc w:val="center"/>
        <w:rPr>
          <w:rFonts w:hint="eastAsia" w:ascii="仿宋_GB2312" w:hAnsi="仿宋_GB2312" w:eastAsia="仿宋_GB2312" w:cs="仿宋_GB2312"/>
          <w:sz w:val="32"/>
          <w:szCs w:val="32"/>
        </w:rPr>
      </w:pPr>
    </w:p>
    <w:p w14:paraId="1D47518A">
      <w:pPr>
        <w:pStyle w:val="3"/>
      </w:pPr>
    </w:p>
    <w:p w14:paraId="580CF8E4"/>
    <w:p w14:paraId="0C17744C">
      <w:pPr>
        <w:pStyle w:val="7"/>
      </w:pPr>
    </w:p>
    <w:p w14:paraId="7B8BABF4">
      <w:pPr>
        <w:pStyle w:val="3"/>
      </w:pPr>
    </w:p>
    <w:p w14:paraId="1942C0DC"/>
    <w:p w14:paraId="6E2D1EEF">
      <w:pPr>
        <w:pStyle w:val="7"/>
      </w:pPr>
    </w:p>
    <w:p w14:paraId="5F6ABC3B">
      <w:pPr>
        <w:pStyle w:val="3"/>
      </w:pPr>
    </w:p>
    <w:p w14:paraId="51BE6437"/>
    <w:p w14:paraId="05344CBA">
      <w:pPr>
        <w:pStyle w:val="7"/>
      </w:pPr>
    </w:p>
    <w:p w14:paraId="5C9170AD">
      <w:pPr>
        <w:pStyle w:val="3"/>
      </w:pPr>
    </w:p>
    <w:p w14:paraId="29D3A91E"/>
    <w:p w14:paraId="0D2A994E">
      <w:pPr>
        <w:pStyle w:val="7"/>
      </w:pPr>
    </w:p>
    <w:p w14:paraId="59CBCCA7">
      <w:pPr>
        <w:pStyle w:val="3"/>
      </w:pPr>
    </w:p>
    <w:p w14:paraId="67806EBD"/>
    <w:p w14:paraId="7C18BB03">
      <w:pPr>
        <w:pStyle w:val="7"/>
      </w:pPr>
    </w:p>
    <w:p w14:paraId="29230CAD">
      <w:pPr>
        <w:pStyle w:val="3"/>
      </w:pPr>
    </w:p>
    <w:p w14:paraId="724E0A54"/>
    <w:p w14:paraId="496F732E">
      <w:pPr>
        <w:pStyle w:val="7"/>
      </w:pPr>
    </w:p>
    <w:p w14:paraId="354ECFD8">
      <w:pPr>
        <w:pStyle w:val="3"/>
      </w:pPr>
    </w:p>
    <w:p w14:paraId="51C67B38"/>
    <w:p w14:paraId="4D131F3E"/>
    <w:p w14:paraId="7CFBCE3C">
      <w:pPr>
        <w:pStyle w:val="7"/>
      </w:pPr>
    </w:p>
    <w:p w14:paraId="5C3DE094">
      <w:pPr>
        <w:pStyle w:val="12"/>
        <w:jc w:val="both"/>
        <w:rPr>
          <w:rFonts w:hint="eastAsia" w:ascii="方正小标宋_GBK" w:hAnsi="方正小标宋_GBK" w:eastAsia="方正小标宋_GBK" w:cs="方正小标宋_GBK"/>
          <w:sz w:val="72"/>
          <w:szCs w:val="72"/>
        </w:rPr>
      </w:pPr>
    </w:p>
    <w:p w14:paraId="0C1858E3">
      <w:pPr>
        <w:pStyle w:val="12"/>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2"/>
          <w:szCs w:val="72"/>
        </w:rPr>
        <w:t>第</w:t>
      </w:r>
      <w:r>
        <w:rPr>
          <w:rFonts w:hint="eastAsia" w:ascii="方正小标宋_GBK" w:hAnsi="方正小标宋_GBK" w:eastAsia="方正小标宋_GBK" w:cs="方正小标宋_GBK"/>
          <w:sz w:val="72"/>
          <w:szCs w:val="72"/>
          <w:lang w:eastAsia="zh-CN"/>
        </w:rPr>
        <w:t>五</w:t>
      </w:r>
      <w:r>
        <w:rPr>
          <w:rFonts w:hint="eastAsia" w:ascii="方正小标宋_GBK" w:hAnsi="方正小标宋_GBK" w:eastAsia="方正小标宋_GBK" w:cs="方正小标宋_GBK"/>
          <w:sz w:val="72"/>
          <w:szCs w:val="72"/>
        </w:rPr>
        <w:t>部分</w:t>
      </w:r>
    </w:p>
    <w:p w14:paraId="592BF6CA">
      <w:pPr>
        <w:pStyle w:val="12"/>
        <w:jc w:val="both"/>
        <w:rPr>
          <w:rFonts w:hint="eastAsia" w:ascii="方正小标宋_GBK" w:hAnsi="方正小标宋_GBK" w:eastAsia="方正小标宋_GBK" w:cs="方正小标宋_GBK"/>
          <w:sz w:val="70"/>
          <w:szCs w:val="70"/>
          <w:lang w:eastAsia="zh-CN"/>
        </w:rPr>
      </w:pPr>
    </w:p>
    <w:p w14:paraId="490142D3">
      <w:pPr>
        <w:pStyle w:val="12"/>
        <w:jc w:val="center"/>
        <w:rPr>
          <w:rFonts w:hint="eastAsia" w:ascii="方正小标宋_GBK" w:hAnsi="方正小标宋_GBK" w:eastAsia="方正小标宋_GBK" w:cs="方正小标宋_GBK"/>
          <w:sz w:val="70"/>
          <w:szCs w:val="70"/>
          <w:lang w:eastAsia="zh-CN"/>
        </w:rPr>
      </w:pPr>
      <w:r>
        <w:rPr>
          <w:rFonts w:hint="eastAsia" w:ascii="方正小标宋_GBK" w:hAnsi="方正小标宋_GBK" w:eastAsia="方正小标宋_GBK" w:cs="方正小标宋_GBK"/>
          <w:sz w:val="70"/>
          <w:szCs w:val="70"/>
          <w:lang w:eastAsia="zh-CN"/>
        </w:rPr>
        <w:t>附</w:t>
      </w:r>
      <w:r>
        <w:rPr>
          <w:rFonts w:hint="eastAsia" w:ascii="方正小标宋_GBK" w:hAnsi="方正小标宋_GBK" w:eastAsia="方正小标宋_GBK" w:cs="方正小标宋_GBK"/>
          <w:sz w:val="70"/>
          <w:szCs w:val="70"/>
          <w:lang w:val="en-US" w:eastAsia="zh-CN"/>
        </w:rPr>
        <w:t xml:space="preserve"> </w:t>
      </w:r>
      <w:r>
        <w:rPr>
          <w:rFonts w:hint="eastAsia" w:ascii="方正小标宋_GBK" w:hAnsi="方正小标宋_GBK" w:eastAsia="方正小标宋_GBK" w:cs="方正小标宋_GBK"/>
          <w:sz w:val="70"/>
          <w:szCs w:val="70"/>
          <w:lang w:eastAsia="zh-CN"/>
        </w:rPr>
        <w:t>件</w:t>
      </w:r>
    </w:p>
    <w:p w14:paraId="3243C04E">
      <w:pPr>
        <w:ind w:firstLine="640" w:firstLineChars="200"/>
        <w:jc w:val="left"/>
        <w:rPr>
          <w:rFonts w:hint="eastAsia" w:ascii="宋体" w:hAnsi="宋体" w:eastAsia="宋体" w:cs="黑体"/>
          <w:b/>
          <w:color w:val="000000"/>
          <w:kern w:val="0"/>
          <w:sz w:val="32"/>
          <w:szCs w:val="32"/>
          <w:lang w:val="en-US" w:eastAsia="zh-CN"/>
        </w:rPr>
      </w:pPr>
    </w:p>
    <w:p w14:paraId="4EAC9354">
      <w:pPr>
        <w:ind w:firstLine="640" w:firstLineChars="200"/>
        <w:jc w:val="left"/>
        <w:rPr>
          <w:rFonts w:hint="eastAsia" w:ascii="宋体" w:hAnsi="宋体" w:eastAsia="宋体" w:cs="黑体"/>
          <w:b/>
          <w:color w:val="000000"/>
          <w:kern w:val="0"/>
          <w:sz w:val="32"/>
          <w:szCs w:val="32"/>
          <w:lang w:val="en-US" w:eastAsia="zh-CN"/>
        </w:rPr>
      </w:pPr>
      <w:r>
        <w:rPr>
          <w:rFonts w:hint="eastAsia" w:ascii="宋体" w:hAnsi="宋体" w:eastAsia="宋体" w:cs="黑体"/>
          <w:b/>
          <w:color w:val="000000"/>
          <w:kern w:val="0"/>
          <w:sz w:val="32"/>
          <w:szCs w:val="32"/>
          <w:lang w:val="en-US" w:eastAsia="zh-CN"/>
        </w:rPr>
        <w:t>1、</w:t>
      </w:r>
      <w:r>
        <w:rPr>
          <w:rFonts w:hint="eastAsia" w:ascii="宋体" w:hAnsi="宋体" w:eastAsia="宋体" w:cs="黑体"/>
          <w:b/>
          <w:color w:val="000000"/>
          <w:kern w:val="0"/>
          <w:sz w:val="32"/>
          <w:szCs w:val="32"/>
          <w:highlight w:val="none"/>
          <w:lang w:val="en-US" w:eastAsia="zh-CN"/>
        </w:rPr>
        <w:t>2024</w:t>
      </w:r>
      <w:r>
        <w:rPr>
          <w:rFonts w:hint="eastAsia" w:ascii="宋体" w:hAnsi="宋体" w:eastAsia="宋体" w:cs="黑体"/>
          <w:b/>
          <w:color w:val="000000"/>
          <w:kern w:val="0"/>
          <w:sz w:val="32"/>
          <w:szCs w:val="32"/>
          <w:lang w:val="en-US" w:eastAsia="zh-CN"/>
        </w:rPr>
        <w:t>年部门决算公开表格</w:t>
      </w:r>
    </w:p>
    <w:p w14:paraId="27E2EE8B">
      <w:pPr>
        <w:ind w:firstLine="640" w:firstLineChars="200"/>
        <w:jc w:val="left"/>
        <w:rPr>
          <w:rFonts w:ascii="宋体" w:hAnsi="宋体" w:eastAsia="宋体" w:cs="黑体"/>
          <w:color w:val="000000"/>
          <w:kern w:val="0"/>
          <w:sz w:val="32"/>
          <w:szCs w:val="32"/>
        </w:rPr>
      </w:pPr>
      <w:r>
        <w:rPr>
          <w:rFonts w:hint="eastAsia" w:ascii="宋体" w:hAnsi="宋体" w:eastAsia="宋体" w:cs="黑体"/>
          <w:b/>
          <w:color w:val="000000"/>
          <w:kern w:val="0"/>
          <w:sz w:val="32"/>
          <w:szCs w:val="32"/>
          <w:lang w:val="en-US" w:eastAsia="zh-CN"/>
        </w:rPr>
        <w:t>2、</w:t>
      </w:r>
      <w:r>
        <w:rPr>
          <w:rFonts w:hint="eastAsia" w:ascii="宋体" w:hAnsi="宋体" w:eastAsia="宋体" w:cs="黑体"/>
          <w:b/>
          <w:color w:val="000000"/>
          <w:kern w:val="0"/>
          <w:sz w:val="32"/>
          <w:szCs w:val="32"/>
          <w:highlight w:val="none"/>
        </w:rPr>
        <w:t>202</w:t>
      </w:r>
      <w:r>
        <w:rPr>
          <w:rFonts w:hint="eastAsia" w:ascii="宋体" w:hAnsi="宋体" w:eastAsia="宋体" w:cs="黑体"/>
          <w:b/>
          <w:color w:val="000000"/>
          <w:kern w:val="0"/>
          <w:sz w:val="32"/>
          <w:szCs w:val="32"/>
          <w:highlight w:val="none"/>
          <w:lang w:val="en-US" w:eastAsia="zh-CN"/>
        </w:rPr>
        <w:t>4</w:t>
      </w:r>
      <w:r>
        <w:rPr>
          <w:rFonts w:hint="eastAsia" w:ascii="宋体" w:hAnsi="宋体" w:eastAsia="宋体" w:cs="黑体"/>
          <w:b/>
          <w:color w:val="000000"/>
          <w:kern w:val="0"/>
          <w:sz w:val="32"/>
          <w:szCs w:val="32"/>
        </w:rPr>
        <w:t>年度部门整体支出绩效评价报告</w:t>
      </w:r>
    </w:p>
    <w:p w14:paraId="045AD96C"/>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altName w:val="微软雅黑"/>
    <w:panose1 w:val="02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3CBC331"/>
    <w:multiLevelType w:val="singleLevel"/>
    <w:tmpl w:val="E3CBC331"/>
    <w:lvl w:ilvl="0" w:tentative="0">
      <w:start w:val="3"/>
      <w:numFmt w:val="decimal"/>
      <w:lvlText w:val="%1."/>
      <w:lvlJc w:val="left"/>
      <w:pPr>
        <w:tabs>
          <w:tab w:val="left" w:pos="312"/>
        </w:tabs>
      </w:pPr>
    </w:lvl>
  </w:abstractNum>
  <w:abstractNum w:abstractNumId="1">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2229B"/>
    <w:rsid w:val="000273BD"/>
    <w:rsid w:val="00040CBC"/>
    <w:rsid w:val="000415B7"/>
    <w:rsid w:val="00041E3F"/>
    <w:rsid w:val="00055DAA"/>
    <w:rsid w:val="00061F7B"/>
    <w:rsid w:val="000658A3"/>
    <w:rsid w:val="00074155"/>
    <w:rsid w:val="000A3F69"/>
    <w:rsid w:val="00103957"/>
    <w:rsid w:val="00152C6D"/>
    <w:rsid w:val="00162D39"/>
    <w:rsid w:val="001678BD"/>
    <w:rsid w:val="00182373"/>
    <w:rsid w:val="001A67DB"/>
    <w:rsid w:val="001C3C29"/>
    <w:rsid w:val="001D51E5"/>
    <w:rsid w:val="001E080D"/>
    <w:rsid w:val="001E53D0"/>
    <w:rsid w:val="001F0C3B"/>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926B9"/>
    <w:rsid w:val="003C47E6"/>
    <w:rsid w:val="003C4FC2"/>
    <w:rsid w:val="00416E61"/>
    <w:rsid w:val="0042790C"/>
    <w:rsid w:val="004506F9"/>
    <w:rsid w:val="004717A2"/>
    <w:rsid w:val="00473DF3"/>
    <w:rsid w:val="00487911"/>
    <w:rsid w:val="00491741"/>
    <w:rsid w:val="004B0CEE"/>
    <w:rsid w:val="00500E5F"/>
    <w:rsid w:val="005122EF"/>
    <w:rsid w:val="0051441A"/>
    <w:rsid w:val="00517C33"/>
    <w:rsid w:val="00517D5F"/>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B4D8E"/>
    <w:rsid w:val="009C3B52"/>
    <w:rsid w:val="009E6817"/>
    <w:rsid w:val="009E6E9A"/>
    <w:rsid w:val="00A01D2B"/>
    <w:rsid w:val="00A42218"/>
    <w:rsid w:val="00A70249"/>
    <w:rsid w:val="00A70B02"/>
    <w:rsid w:val="00A71D9F"/>
    <w:rsid w:val="00A92E9F"/>
    <w:rsid w:val="00AB18FF"/>
    <w:rsid w:val="00B33BEA"/>
    <w:rsid w:val="00B57C9F"/>
    <w:rsid w:val="00B63572"/>
    <w:rsid w:val="00B845B3"/>
    <w:rsid w:val="00B85D8B"/>
    <w:rsid w:val="00BB4A40"/>
    <w:rsid w:val="00BD6C3E"/>
    <w:rsid w:val="00BE3674"/>
    <w:rsid w:val="00C10681"/>
    <w:rsid w:val="00C3049A"/>
    <w:rsid w:val="00C31B1E"/>
    <w:rsid w:val="00C77645"/>
    <w:rsid w:val="00CE04C3"/>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59958AD"/>
    <w:rsid w:val="06C857E7"/>
    <w:rsid w:val="08C24A73"/>
    <w:rsid w:val="09587508"/>
    <w:rsid w:val="11944E2C"/>
    <w:rsid w:val="12583BA5"/>
    <w:rsid w:val="13BA5B9C"/>
    <w:rsid w:val="1443364A"/>
    <w:rsid w:val="1D97DEFF"/>
    <w:rsid w:val="1DFF72E5"/>
    <w:rsid w:val="1EFC6F07"/>
    <w:rsid w:val="1F0527A6"/>
    <w:rsid w:val="22AC03C2"/>
    <w:rsid w:val="283B15FE"/>
    <w:rsid w:val="291A6300"/>
    <w:rsid w:val="2FA75214"/>
    <w:rsid w:val="2FDF85B8"/>
    <w:rsid w:val="2FFFEE04"/>
    <w:rsid w:val="31C95635"/>
    <w:rsid w:val="34DF85B0"/>
    <w:rsid w:val="3B8F36BC"/>
    <w:rsid w:val="43EB5BA5"/>
    <w:rsid w:val="491FF225"/>
    <w:rsid w:val="4DB26CF9"/>
    <w:rsid w:val="4DF62CE1"/>
    <w:rsid w:val="4EC310A1"/>
    <w:rsid w:val="4FFD214C"/>
    <w:rsid w:val="5132653C"/>
    <w:rsid w:val="52E127FA"/>
    <w:rsid w:val="5352765A"/>
    <w:rsid w:val="5777D4F5"/>
    <w:rsid w:val="57F22B6F"/>
    <w:rsid w:val="59DD8326"/>
    <w:rsid w:val="5CE210ED"/>
    <w:rsid w:val="5DEF592A"/>
    <w:rsid w:val="5FC6BB1E"/>
    <w:rsid w:val="5FF720F1"/>
    <w:rsid w:val="622964C1"/>
    <w:rsid w:val="66BB6DB8"/>
    <w:rsid w:val="67FF5C0B"/>
    <w:rsid w:val="6BAA4A2F"/>
    <w:rsid w:val="6DDEC5C0"/>
    <w:rsid w:val="6EFC0924"/>
    <w:rsid w:val="6FB74722"/>
    <w:rsid w:val="6FEF8B7E"/>
    <w:rsid w:val="717FE77F"/>
    <w:rsid w:val="71A6591B"/>
    <w:rsid w:val="737D59BA"/>
    <w:rsid w:val="737F32B1"/>
    <w:rsid w:val="73BD3FCA"/>
    <w:rsid w:val="75F21E65"/>
    <w:rsid w:val="776BDA01"/>
    <w:rsid w:val="77C37683"/>
    <w:rsid w:val="78746CD1"/>
    <w:rsid w:val="79FF515B"/>
    <w:rsid w:val="7DFBFF20"/>
    <w:rsid w:val="7E9E1962"/>
    <w:rsid w:val="7E9F11B4"/>
    <w:rsid w:val="7F37EC1E"/>
    <w:rsid w:val="7F7C0DDA"/>
    <w:rsid w:val="7F7DCD9D"/>
    <w:rsid w:val="7F970A6F"/>
    <w:rsid w:val="7FC1FFF3"/>
    <w:rsid w:val="7FC69637"/>
    <w:rsid w:val="7FDF8620"/>
    <w:rsid w:val="7FFB242F"/>
    <w:rsid w:val="7FFDB408"/>
    <w:rsid w:val="7FFE4EEB"/>
    <w:rsid w:val="95FB2B98"/>
    <w:rsid w:val="9A639BC2"/>
    <w:rsid w:val="9FF7D786"/>
    <w:rsid w:val="ABBFB23D"/>
    <w:rsid w:val="B6BE5A03"/>
    <w:rsid w:val="B8C93228"/>
    <w:rsid w:val="C3B4DA5A"/>
    <w:rsid w:val="C4FF458C"/>
    <w:rsid w:val="C7BBD038"/>
    <w:rsid w:val="CBFF70E0"/>
    <w:rsid w:val="CFF50B82"/>
    <w:rsid w:val="CFFFAD89"/>
    <w:rsid w:val="DFFE359E"/>
    <w:rsid w:val="DFFE4FFD"/>
    <w:rsid w:val="DFFF5403"/>
    <w:rsid w:val="EBC3E00A"/>
    <w:rsid w:val="EDFBE100"/>
    <w:rsid w:val="EEABED75"/>
    <w:rsid w:val="EF7E8003"/>
    <w:rsid w:val="F56FDF51"/>
    <w:rsid w:val="F5F3EE78"/>
    <w:rsid w:val="F6B69F17"/>
    <w:rsid w:val="F6E5BB3A"/>
    <w:rsid w:val="F77F1D61"/>
    <w:rsid w:val="F7FED3A9"/>
    <w:rsid w:val="F8C9DB26"/>
    <w:rsid w:val="F97E8EAE"/>
    <w:rsid w:val="FB36E1A6"/>
    <w:rsid w:val="FB3BE134"/>
    <w:rsid w:val="FCFF4275"/>
    <w:rsid w:val="FD7FEEEA"/>
    <w:rsid w:val="FDFFB577"/>
    <w:rsid w:val="FEEA50FE"/>
    <w:rsid w:val="FF7D47A9"/>
    <w:rsid w:val="FFCF21CB"/>
    <w:rsid w:val="FFF94102"/>
    <w:rsid w:val="FFFF1C8B"/>
    <w:rsid w:val="FFFF74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3">
    <w:name w:val="Body Text First Indent 2"/>
    <w:basedOn w:val="2"/>
    <w:next w:val="1"/>
    <w:unhideWhenUsed/>
    <w:qFormat/>
    <w:uiPriority w:val="99"/>
    <w:pPr>
      <w:ind w:firstLine="420" w:firstLineChars="200"/>
    </w:pPr>
  </w:style>
  <w:style w:type="paragraph" w:styleId="4">
    <w:name w:val="Balloon Text"/>
    <w:basedOn w:val="1"/>
    <w:link w:val="14"/>
    <w:semiHidden/>
    <w:unhideWhenUsed/>
    <w:qFormat/>
    <w:uiPriority w:val="99"/>
    <w:rPr>
      <w:sz w:val="18"/>
      <w:szCs w:val="18"/>
    </w:rPr>
  </w:style>
  <w:style w:type="paragraph" w:styleId="5">
    <w:name w:val="footer"/>
    <w:basedOn w:val="1"/>
    <w:link w:val="11"/>
    <w:unhideWhenUsed/>
    <w:qFormat/>
    <w:uiPriority w:val="99"/>
    <w:pPr>
      <w:tabs>
        <w:tab w:val="center" w:pos="4153"/>
        <w:tab w:val="right" w:pos="8306"/>
      </w:tabs>
      <w:snapToGrid w:val="0"/>
      <w:jc w:val="left"/>
    </w:pPr>
    <w:rPr>
      <w:sz w:val="18"/>
      <w:szCs w:val="18"/>
    </w:rPr>
  </w:style>
  <w:style w:type="paragraph" w:styleId="6">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next w:val="3"/>
    <w:semiHidden/>
    <w:qFormat/>
    <w:uiPriority w:val="0"/>
    <w:pPr>
      <w:snapToGrid w:val="0"/>
      <w:jc w:val="left"/>
    </w:pPr>
    <w:rPr>
      <w:sz w:val="18"/>
      <w:szCs w:val="18"/>
    </w:rPr>
  </w:style>
  <w:style w:type="character" w:customStyle="1" w:styleId="10">
    <w:name w:val="页眉 Char"/>
    <w:basedOn w:val="9"/>
    <w:link w:val="6"/>
    <w:qFormat/>
    <w:uiPriority w:val="99"/>
    <w:rPr>
      <w:sz w:val="18"/>
      <w:szCs w:val="18"/>
    </w:rPr>
  </w:style>
  <w:style w:type="character" w:customStyle="1" w:styleId="11">
    <w:name w:val="页脚 Char"/>
    <w:basedOn w:val="9"/>
    <w:link w:val="5"/>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4"/>
    <w:semiHidden/>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18</Pages>
  <Words>7104</Words>
  <Characters>7676</Characters>
  <Lines>63</Lines>
  <Paragraphs>18</Paragraphs>
  <TotalTime>35</TotalTime>
  <ScaleCrop>false</ScaleCrop>
  <LinksUpToDate>false</LinksUpToDate>
  <CharactersWithSpaces>7720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2020-07-10T18:32:00Z</dcterms:created>
  <dc:creator>李航 null</dc:creator>
  <cp:lastModifiedBy>Quinice 罗</cp:lastModifiedBy>
  <cp:lastPrinted>2024-08-11T02:20:00Z</cp:lastPrinted>
  <dcterms:modified xsi:type="dcterms:W3CDTF">2026-09-29T13:47:35Z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028CC83A6850451DB5C596D853FF0414_13</vt:lpwstr>
  </property>
  <property fmtid="{D5CDD505-2E9C-101B-9397-08002B2CF9AE}" pid="4" name="KSOTemplateDocerSaveRecord">
    <vt:lpwstr>eyJoZGlkIjoiOTE4ZWE3MGIwNDVmZTQ4MWEzMWM1ZmRmOWE2Y2Y3NTUiLCJ1c2VySWQiOiIyMTY2NDk2NzkifQ==</vt:lpwstr>
  </property>
</Properties>
</file>